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32A3FFB2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>Motu Proprio „</w:t>
      </w:r>
      <w:r w:rsidR="00373CF6">
        <w:rPr>
          <w:b/>
          <w:sz w:val="32"/>
          <w:szCs w:val="32"/>
        </w:rPr>
        <w:t xml:space="preserve">De Concordia </w:t>
      </w:r>
      <w:proofErr w:type="spellStart"/>
      <w:r w:rsidR="00373CF6">
        <w:rPr>
          <w:b/>
          <w:sz w:val="32"/>
          <w:szCs w:val="32"/>
        </w:rPr>
        <w:t>inter</w:t>
      </w:r>
      <w:proofErr w:type="spellEnd"/>
      <w:r w:rsidR="00373CF6">
        <w:rPr>
          <w:b/>
          <w:sz w:val="32"/>
          <w:szCs w:val="32"/>
        </w:rPr>
        <w:t xml:space="preserve"> Codices“ vom </w:t>
      </w:r>
      <w:r w:rsidR="007170D4">
        <w:rPr>
          <w:b/>
          <w:sz w:val="32"/>
          <w:szCs w:val="32"/>
        </w:rPr>
        <w:t>31</w:t>
      </w:r>
      <w:r w:rsidR="00373CF6">
        <w:rPr>
          <w:b/>
          <w:sz w:val="32"/>
          <w:szCs w:val="32"/>
        </w:rPr>
        <w:t>.0</w:t>
      </w:r>
      <w:r w:rsidR="007170D4">
        <w:rPr>
          <w:b/>
          <w:sz w:val="32"/>
          <w:szCs w:val="32"/>
        </w:rPr>
        <w:t>5</w:t>
      </w:r>
      <w:r w:rsidR="00373CF6">
        <w:rPr>
          <w:b/>
          <w:sz w:val="32"/>
          <w:szCs w:val="32"/>
        </w:rPr>
        <w:t xml:space="preserve">.2016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>
      <w:pPr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63C54397" w14:textId="3F3F8785" w:rsidR="00E75DCD" w:rsidRPr="00E75DCD" w:rsidRDefault="004E1161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E75DCD">
              <w:rPr>
                <w:rFonts w:cstheme="minorHAnsi"/>
                <w:b/>
                <w:bCs/>
                <w:sz w:val="24"/>
                <w:szCs w:val="24"/>
                <w:lang w:val="en-US"/>
              </w:rPr>
              <w:t>111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Ecclesiae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latinae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receptum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baptismum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adscribitur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filius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parentum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qui ad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eam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pertinent vel,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alteruter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eam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pertineat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ambo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concordi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voluntate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optaverint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proles in Ecclesia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latina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baptizaretur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quodsi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concors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voluntas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desit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Ecclesiae sui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quam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pater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pertinet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adscribitur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21BEE57A" w14:textId="77777777" w:rsidR="00E75DCD" w:rsidRPr="00E75DCD" w:rsidRDefault="00E75DCD" w:rsidP="00E75DC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33764932" w14:textId="1CF24ECD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Si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vero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unus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tantum ex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parentibus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 catholicus, Ecclesiae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hic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catholicus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pertinet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adscribitur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EB6A520" w14:textId="3BB70F91" w:rsidR="003C2B7D" w:rsidRPr="00AC3CC3" w:rsidRDefault="00E75DCD" w:rsidP="00E75DCD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Quilibet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baptizandus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quartum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decimum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aetatis annum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expleverit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libere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eligere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Ecclesia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latina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in alia Ecclesia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baptizetur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quo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casu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ipse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Ecclesiam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pertinet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elegerit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67BCA9B7" w14:textId="77777777" w:rsidR="00E75DCD" w:rsidRPr="00E75DCD" w:rsidRDefault="004E1161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E75DCD">
              <w:rPr>
                <w:rFonts w:cstheme="minorHAnsi"/>
                <w:b/>
                <w:bCs/>
                <w:sz w:val="24"/>
                <w:szCs w:val="24"/>
                <w:lang w:val="en-US"/>
              </w:rPr>
              <w:t>111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In die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lateinische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Taufempfang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aufgenommen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Kind von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ihre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gehören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die, falls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Elternteil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ihr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gehört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beide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übereinstimmend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gewünscht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ihr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Kind in der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lateinischen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getauft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Übereinstimmung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fehlt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der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zugeschrieben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welcher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Vater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gehört</w:t>
            </w:r>
            <w:proofErr w:type="spellEnd"/>
            <w:r w:rsidR="00E75DCD"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BC7CB04" w14:textId="4F2ECA63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Elternteil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katholisch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in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aufgenommen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katholische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Elternteil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gehört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</w:p>
          <w:p w14:paraId="33DC8508" w14:textId="6FDB1669" w:rsidR="003C2B7D" w:rsidRPr="00AC3CC3" w:rsidRDefault="00E75DCD" w:rsidP="00E75D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Jeder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Taufbewerber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das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vierzehnte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Lebensjahr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vollendet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frei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wählen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ob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in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lateinischen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getauft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warden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soll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; in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diesem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Falle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gehört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er </w:t>
            </w:r>
            <w:proofErr w:type="spellStart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>gewählt</w:t>
            </w:r>
            <w:proofErr w:type="spellEnd"/>
            <w:r w:rsidR="008A394E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hat.</w:t>
            </w:r>
          </w:p>
        </w:tc>
      </w:tr>
    </w:tbl>
    <w:p w14:paraId="46E373E6" w14:textId="536EACC7" w:rsidR="00E75DCD" w:rsidRDefault="00A72E89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E75DCD" w:rsidRPr="00AC3CC3" w14:paraId="38E0F2AE" w14:textId="77777777" w:rsidTr="00584D54">
        <w:tc>
          <w:tcPr>
            <w:tcW w:w="7138" w:type="dxa"/>
          </w:tcPr>
          <w:p w14:paraId="1CD1C30B" w14:textId="57E72CED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§ 1. 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Post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receptum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baptismum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alii Ecclesiae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</w:t>
            </w:r>
            <w:r w:rsidR="00A72E89">
              <w:rPr>
                <w:rFonts w:cstheme="minorHAnsi"/>
                <w:bCs/>
                <w:sz w:val="24"/>
                <w:szCs w:val="24"/>
                <w:lang w:val="en-US"/>
              </w:rPr>
              <w:t>d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scribuntur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363437E4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qui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licentiam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Apostolica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Sede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obtinuerit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0C50F6D4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coniux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qui,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matrimonio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ineundo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durante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Ecclesiam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alterius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coniugis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transire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declaraverit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matrimonio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autem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soluto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libere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latinam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Ecclesiam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redire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1919E40E" w14:textId="77777777" w:rsidR="00E75DCD" w:rsidRPr="00E75DCD" w:rsidRDefault="00E75DCD" w:rsidP="00E75DC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14EBA0A" w14:textId="593D2968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filii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3C626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 et 2, ante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decimum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quartum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aetatis annum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completum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itemque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matrimonio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mixto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filii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partis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catholicae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Ecclesiam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legitime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transierit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adepta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vero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hac aetate,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iidem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possunt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latinam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Ecclesiam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redire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1443DA04" w14:textId="77777777" w:rsidR="00E75DCD" w:rsidRPr="00E75DCD" w:rsidRDefault="00E75DCD" w:rsidP="00E75DC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0A0F90C4" w14:textId="665DA74D" w:rsid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Mos,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quamvis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diuturnus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sacramenta secundum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ritum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alius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recipiendi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non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secumfert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adscriptionem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eidem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Ecclesiae.</w:t>
            </w:r>
          </w:p>
          <w:p w14:paraId="4DD59BB8" w14:textId="77777777" w:rsidR="00E75DCD" w:rsidRPr="00E75DCD" w:rsidRDefault="00E75DCD" w:rsidP="00E75DC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57045655" w14:textId="30A3BB2E" w:rsidR="00E75DCD" w:rsidRPr="00AC3CC3" w:rsidRDefault="00E75DCD" w:rsidP="00E75DCD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Omnis transitus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Ecclesiam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vim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habet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momento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declarationis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factae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coram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eiusdem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loci vel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parocho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proprio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sacerdote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alterutro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delegato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duobus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testibus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rescriptum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Sedis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Apostolicae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aliud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ferat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et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libro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baptizatorum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adnotetur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1578DAAE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§ 1.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Empfang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Taufe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aufgenommen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5869FDB5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Erlaubnis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erhalten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hat;</w:t>
            </w:r>
            <w:proofErr w:type="gramEnd"/>
          </w:p>
          <w:p w14:paraId="7536E0F1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Ehepartner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Eingehen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während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Bestehens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erklärt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Ehepartners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übertrete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aufgelöst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frei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lateinischen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zurückkehren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556075BC" w14:textId="0C0E8A4B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</w:t>
            </w:r>
            <w:proofErr w:type="spellStart"/>
            <w:r w:rsidR="003C6263">
              <w:rPr>
                <w:rFonts w:cstheme="minorHAnsi"/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Vollendung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vierzehnten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Lebensjahres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Kinder</w:t>
            </w:r>
            <w:r w:rsidR="003C626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3C626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 und 2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Genannten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Mischehe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Kinder des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Teils,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rechtmäßig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übergetreten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Erreichen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dieses Alters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lateinischen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zurückkehren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7091949F" w14:textId="50B9E14D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selbst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längere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Zeit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hindurch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geübte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Brauch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Sakramente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Ritus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empfangen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bringt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Aufnahme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3C6263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3C6263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1A6D909" w14:textId="77BF083D" w:rsidR="00E75DCD" w:rsidRPr="00AC3CC3" w:rsidRDefault="00E75DCD" w:rsidP="00E75D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Jeder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Übertritt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erlangt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Rechtskraft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Zeitpunkt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Erklärung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an,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vollzogen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Ortsordinarius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Pfarrer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Priester, der von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beiden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delegiert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sowie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zwei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Zeugen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Reskript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Stuhls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nichts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vorsieht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er muss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Taufbuch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vermerkt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0C2FB232" w14:textId="77777777" w:rsidR="00E75DCD" w:rsidRDefault="00E75DCD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E75DCD" w:rsidRPr="00AC3CC3" w14:paraId="3EDC96CF" w14:textId="77777777" w:rsidTr="00584D54">
        <w:tc>
          <w:tcPr>
            <w:tcW w:w="7138" w:type="dxa"/>
          </w:tcPr>
          <w:p w14:paraId="2AA1AD33" w14:textId="77777777" w:rsidR="00A47171" w:rsidRDefault="00E75DCD" w:rsidP="00584D54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535</w:t>
            </w:r>
          </w:p>
          <w:p w14:paraId="2E762BBD" w14:textId="6851F144" w:rsidR="00E75DCD" w:rsidRPr="00AC3CC3" w:rsidRDefault="00E75DCD" w:rsidP="00584D54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2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libro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baptizatorum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adnotentur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quoque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adscriptio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sui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transitus,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necnon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confirmatio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item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pertinent ad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statum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canonicum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christifidelium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ratione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matrimonii, salvo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quidem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praescripto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1133,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ratione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adoptionis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ratione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suscepti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ordinis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sacri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necnon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professionis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perpetuae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instituto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religioso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emissae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eaeque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adnotationes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documento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accepti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baptismi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semper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referantur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072ADCA7" w14:textId="77777777" w:rsidR="00A47171" w:rsidRDefault="00E75DCD" w:rsidP="00584D54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535</w:t>
            </w:r>
          </w:p>
          <w:p w14:paraId="0367C426" w14:textId="2CAD15D2" w:rsidR="00E75DCD" w:rsidRPr="00AC3CC3" w:rsidRDefault="00E75DCD" w:rsidP="00584D5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2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In das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Taufbuch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einzutragen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Aufnahme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Übertritt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ferner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Firmung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ebenso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alles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was den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kanonischen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Personenstand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Gläubigen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betrifft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Bezug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unbeschadet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jedoch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1133,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Bezug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die Adoption,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desgleichen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Bezug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de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n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Empfang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heiligen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Weihe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Bezug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das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Ordensinstitut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abgelegte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ewige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Gelübde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Eintragungen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Urkunde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über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Taufempfang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immer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erwähnen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E75DCD" w:rsidRPr="00AC3CC3" w14:paraId="0CD62173" w14:textId="77777777" w:rsidTr="00584D54">
        <w:tc>
          <w:tcPr>
            <w:tcW w:w="7138" w:type="dxa"/>
          </w:tcPr>
          <w:p w14:paraId="069FAC55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868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§ 1. 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Ut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infans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licite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baptizetur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oportet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36A2F32D" w14:textId="7C27B795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saltem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unus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 legitime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eorundem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locum tenet, </w:t>
            </w:r>
            <w:proofErr w:type="spellStart"/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consenti</w:t>
            </w:r>
            <w:r w:rsidR="00A47171">
              <w:rPr>
                <w:rFonts w:cstheme="minorHAnsi"/>
                <w:bCs/>
                <w:sz w:val="24"/>
                <w:szCs w:val="24"/>
                <w:lang w:val="en-US"/>
              </w:rPr>
              <w:t>a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2457C4F7" w14:textId="37D7D1D2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spes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habeatur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fundata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religione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catholica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educatum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iri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firma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prorsus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deficiat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baptismus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secundum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praescripta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particularis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differatur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monitis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ratione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parentibus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562BF35F" w14:textId="77777777" w:rsidR="00E75DCD" w:rsidRPr="00E75DCD" w:rsidRDefault="00E75DCD" w:rsidP="00E75DC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F2473D4" w14:textId="77777777" w:rsidR="00E75DCD" w:rsidRPr="00E75DCD" w:rsidRDefault="00E75DCD" w:rsidP="00E75DC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4F761E4" w14:textId="45FDB00E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Infans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catholicorum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immo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non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catholicorum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periculo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mortis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licite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baptizatur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invitis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parentibus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58BBCC93" w14:textId="68D50EF0" w:rsidR="00E75DCD" w:rsidRPr="00AC3CC3" w:rsidRDefault="00E75DCD" w:rsidP="00E75DCD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Infans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christianorum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catholicorum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licite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baptizatur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parentes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unus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saltem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eorum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is, qui legitime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eorundem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locum tenet, id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petunt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7171">
              <w:rPr>
                <w:rFonts w:cstheme="minorHAnsi"/>
                <w:bCs/>
                <w:sz w:val="24"/>
                <w:szCs w:val="24"/>
                <w:lang w:val="en-US"/>
              </w:rPr>
              <w:t>physice</w:t>
            </w:r>
            <w:proofErr w:type="spellEnd"/>
            <w:r w:rsidR="00A4717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moraliter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im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possibile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accedere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ministrum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proprium.</w:t>
            </w:r>
          </w:p>
        </w:tc>
        <w:tc>
          <w:tcPr>
            <w:tcW w:w="7139" w:type="dxa"/>
          </w:tcPr>
          <w:p w14:paraId="7BD10DBA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868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§ 1.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Damit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Kind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erlaubt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getauft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erforderlich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: </w:t>
            </w:r>
          </w:p>
          <w:p w14:paraId="1E0880A6" w14:textId="77777777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wenigstens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Elternteil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beziehungsweise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rechtmäßig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ihre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Stelle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einnimmt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müssen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zustimmen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73C1F52" w14:textId="2799AEE2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es muss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begründete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Hoffnung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bestehen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Kind in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Religion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erzogen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unbeschadet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Hoffnung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völlig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fehlt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Taufe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Vorschriften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Partikularrechts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aufzuschieben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dabei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Grund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hinzuweisen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88A5D69" w14:textId="13D8B9F0" w:rsidR="00E75DCD" w:rsidRPr="00E75DCD" w:rsidRDefault="00E75DCD" w:rsidP="00E75DC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In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Todesgefahr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Kind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katholischer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ja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sogar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nichtkatholischer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Willen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erlaubt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getauft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77FCC87" w14:textId="52A8C49A" w:rsidR="00E75DCD" w:rsidRPr="00AC3CC3" w:rsidRDefault="00E75DCD" w:rsidP="00E75D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68581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Ein Kind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nichtkatholischer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Christen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erlaubt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getauft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wenigstens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Elternteil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der, der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rechtmäßig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ihre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Stelle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vertritt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darum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bitten und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ihnen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physisch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moralisch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unmöglich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an</w:t>
            </w:r>
            <w:proofErr w:type="gram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Amtsträger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wenden</w:t>
            </w:r>
            <w:proofErr w:type="spellEnd"/>
            <w:r w:rsidRPr="00E75DC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44633" w:rsidRPr="00AC3CC3" w14:paraId="189831BE" w14:textId="77777777" w:rsidTr="00A65166">
        <w:tc>
          <w:tcPr>
            <w:tcW w:w="7138" w:type="dxa"/>
          </w:tcPr>
          <w:p w14:paraId="1B9CCC33" w14:textId="77777777" w:rsidR="00144633" w:rsidRDefault="00144633" w:rsidP="00A65166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1108</w:t>
            </w:r>
          </w:p>
          <w:p w14:paraId="695271D4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3. Solus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sacerdos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valide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assistit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matrimonio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inter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partes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orientales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inter partem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latinam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partem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orientalem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sive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catholicam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sive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catholicam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1AE5BFCA" w14:textId="77777777" w:rsidR="00144633" w:rsidRPr="004A7F3B" w:rsidRDefault="00144633" w:rsidP="00A6516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1108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14:paraId="7AFB5FD4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3. Nur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Priester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assistiert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gültig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zwischen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orientalischen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Partner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zwischen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lateinischen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orientalischen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Partner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sei 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katholisch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nichtkatholisch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44633" w:rsidRPr="00AC3CC3" w14:paraId="2FCC63B6" w14:textId="77777777" w:rsidTr="00A65166">
        <w:tc>
          <w:tcPr>
            <w:tcW w:w="7138" w:type="dxa"/>
          </w:tcPr>
          <w:p w14:paraId="57FB86F9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1109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Loci Ordinarius et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parochus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per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sententiam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per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decretum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fuerint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excommunicati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interdicti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suspensi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officio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tales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declarati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vi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officii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intra fines sui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territorii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valide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matrimoniis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assistunt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tantum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subditorum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sed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dummodo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alterutra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saltem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pars sit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adscripta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latinae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non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subditorum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6775DDD7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1109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Ortsordinarius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Ortspfarrer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assistieren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exkommuniziert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interdiziert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Amt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suspendiert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bzw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solche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erklärt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Grenzen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ihres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Gebietes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kraft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ihres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Amtes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gültig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Eheschließungen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ihrer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Untergebenen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sondern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Fremden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wenigstens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ihnen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lateinischen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angehört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44633" w:rsidRPr="00AC3CC3" w14:paraId="3B8EBA0D" w14:textId="77777777" w:rsidTr="00A65166">
        <w:tc>
          <w:tcPr>
            <w:tcW w:w="7138" w:type="dxa"/>
          </w:tcPr>
          <w:p w14:paraId="4F1A1874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1111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Loci Ordinarius et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parochus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quamdiu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valide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officio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funguntur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possunt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facultatem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intra fines sui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territorii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matrimoniis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assistendi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generalem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sacerdotibus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diaconis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delegare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firmo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tamen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praescribit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1108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7139" w:type="dxa"/>
          </w:tcPr>
          <w:p w14:paraId="37290417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1111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Solange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Ortsordinarius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Ortspfarrer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ihr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Amt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gültig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ausüben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Befugnis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Grenzen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ihres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Gebietes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Eheschließungen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assistieren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allgemein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an Priester und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Diakone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delegieren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unbeschadet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dessen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, was can.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1108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vorschreibt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44633" w:rsidRPr="00AC3CC3" w14:paraId="38E25C07" w14:textId="77777777" w:rsidTr="00A65166">
        <w:tc>
          <w:tcPr>
            <w:tcW w:w="7138" w:type="dxa"/>
          </w:tcPr>
          <w:p w14:paraId="6D845A70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1112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Ubi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desunt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sacerdotes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diaconi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dioecesanus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praevio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favorabili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Episcoporum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conferentiae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obtenta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licentia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Sanctae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Sedis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delegare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laicos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, qui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matrimoniis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assistant,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firmo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praescripto</w:t>
            </w:r>
            <w:proofErr w:type="spellEnd"/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1108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7F3B">
              <w:rPr>
                <w:rFonts w:cstheme="minorHAnsi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7139" w:type="dxa"/>
          </w:tcPr>
          <w:p w14:paraId="098E731A" w14:textId="77777777" w:rsidR="00144633" w:rsidRPr="00AC3CC3" w:rsidRDefault="00144633" w:rsidP="00A651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1112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Wo Priester und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Diakone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fehlen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aufgrund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vorgängigen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empfehlenden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Stellungnahme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Bischofskonferenz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Erhalt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Erlaubnis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Heiligen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Stuhles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Laien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Eheschließungsassistenz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delegieren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unbeschadet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can.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1108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B147B">
              <w:rPr>
                <w:rFonts w:cstheme="minorHAnsi"/>
                <w:bCs/>
                <w:sz w:val="24"/>
                <w:szCs w:val="24"/>
                <w:lang w:val="en-US"/>
              </w:rPr>
              <w:t>3.</w:t>
            </w:r>
          </w:p>
        </w:tc>
      </w:tr>
      <w:tr w:rsidR="00144633" w:rsidRPr="00AC3CC3" w14:paraId="486DEDCA" w14:textId="77777777" w:rsidTr="00A65166">
        <w:tc>
          <w:tcPr>
            <w:tcW w:w="7138" w:type="dxa"/>
          </w:tcPr>
          <w:p w14:paraId="4E33DC7D" w14:textId="3E80FE7A" w:rsidR="00144633" w:rsidRPr="007E70A2" w:rsidRDefault="00144633" w:rsidP="001446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1116</w:t>
            </w:r>
          </w:p>
          <w:p w14:paraId="57E7C8E0" w14:textId="535306DE" w:rsidR="00144633" w:rsidRPr="00AC3CC3" w:rsidRDefault="00144633" w:rsidP="00A6516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3. In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iisdem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rerum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adiunctis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1,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nn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1 et 2, Ordinarius loci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cuilibet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sacerdoti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catholico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facultatem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conferre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benedicendi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christifidelium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Ecclesiarum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orientalium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plenam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cum Ecclesia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catholica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communionem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habeant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sponte id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petant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et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dummodo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nihil validate vel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licitae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celebration</w:t>
            </w:r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obstet. </w:t>
            </w:r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S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acerdos</w:t>
            </w:r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ipse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id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prudenter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fieri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possit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auctoritatem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competentem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non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catholicae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cuius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interest, de re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certiorem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faciat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21228F1" w14:textId="7ED8EDF7" w:rsidR="00144633" w:rsidRPr="007E70A2" w:rsidRDefault="00144633" w:rsidP="001446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1116</w:t>
            </w:r>
          </w:p>
          <w:p w14:paraId="3365189C" w14:textId="16B6FC76" w:rsidR="00144633" w:rsidRPr="00144633" w:rsidRDefault="00144633" w:rsidP="001446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Umständen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§</w:t>
            </w:r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nn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1 und 2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Ortsordinarius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jedem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Priester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Befugnis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übertragen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Christen der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orientalischen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Kirchen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segnen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keine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volle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Gemeinschaft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katholischen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darum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bitten und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gültigen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erlaubten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nichts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entgegensteht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 De</w:t>
            </w:r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r 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Priester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selbst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soll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klugerweise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möglich</w:t>
            </w:r>
            <w:proofErr w:type="spellEnd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8A0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zuständige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Autorität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betroffenen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nichtkatholischen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der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Sache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unterrichten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7A44BC" w:rsidRPr="00AC3CC3" w14:paraId="6E1CB144" w14:textId="77777777" w:rsidTr="00A65166">
        <w:tc>
          <w:tcPr>
            <w:tcW w:w="7138" w:type="dxa"/>
          </w:tcPr>
          <w:p w14:paraId="0A3E6DCF" w14:textId="3DF9E000" w:rsidR="007A44BC" w:rsidRPr="00AC3CC3" w:rsidRDefault="007A44BC" w:rsidP="00A6516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1127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Ad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formam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attinet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matrimonio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mixto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adhibendam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serventur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praescripta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1108;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tamen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pars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catholica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contrahit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catholica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ritus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orientalis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forma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canonica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celebrationis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servanda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liceitatem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tantum; ad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validitatem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autem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requiritur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interventus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sacerdotis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servatis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aliis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iure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servandis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180760E3" w14:textId="180C7C65" w:rsidR="007A44BC" w:rsidRPr="00AC3CC3" w:rsidRDefault="007A44BC" w:rsidP="00A651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1127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1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Was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Eheschließungsform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Mischehe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betrifft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Vorschriften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1108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beachten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jedoch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Katholik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Nichtkatholiken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orientalischen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Ritus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schließt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kanonische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Eheschließungsform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Erlaubtheit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einzuhalten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Gültigkeit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Wahrung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sonstigen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Rechtsvorschriften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Mitwirkung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Priesters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erforderlich</w:t>
            </w:r>
            <w:proofErr w:type="spellEnd"/>
            <w:r w:rsidRPr="007E70A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40B54F5" w14:textId="77777777" w:rsidR="005A1F8C" w:rsidRPr="00046CA3" w:rsidRDefault="005A1F8C">
      <w:pPr>
        <w:rPr>
          <w:sz w:val="24"/>
          <w:szCs w:val="24"/>
        </w:rPr>
      </w:pPr>
    </w:p>
    <w:sectPr w:rsidR="005A1F8C" w:rsidRPr="00046CA3" w:rsidSect="007E70A2">
      <w:pgSz w:w="16838" w:h="11906" w:orient="landscape"/>
      <w:pgMar w:top="1417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9F06" w14:textId="77777777" w:rsidR="00D46DD6" w:rsidRDefault="00D46DD6" w:rsidP="005A1F8C">
      <w:pPr>
        <w:spacing w:after="0" w:line="240" w:lineRule="auto"/>
      </w:pPr>
      <w:r>
        <w:separator/>
      </w:r>
    </w:p>
  </w:endnote>
  <w:endnote w:type="continuationSeparator" w:id="0">
    <w:p w14:paraId="0F82B896" w14:textId="77777777" w:rsidR="00D46DD6" w:rsidRDefault="00D46DD6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FCF1" w14:textId="77777777" w:rsidR="00D46DD6" w:rsidRDefault="00D46DD6" w:rsidP="005A1F8C">
      <w:pPr>
        <w:spacing w:after="0" w:line="240" w:lineRule="auto"/>
      </w:pPr>
      <w:r>
        <w:separator/>
      </w:r>
    </w:p>
  </w:footnote>
  <w:footnote w:type="continuationSeparator" w:id="0">
    <w:p w14:paraId="422C3A5C" w14:textId="77777777" w:rsidR="00D46DD6" w:rsidRDefault="00D46DD6" w:rsidP="005A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46CA3"/>
    <w:rsid w:val="00050B91"/>
    <w:rsid w:val="0014425C"/>
    <w:rsid w:val="00144633"/>
    <w:rsid w:val="00242BE3"/>
    <w:rsid w:val="00251AD2"/>
    <w:rsid w:val="00347EE5"/>
    <w:rsid w:val="00373CF6"/>
    <w:rsid w:val="003C2B7D"/>
    <w:rsid w:val="003C6263"/>
    <w:rsid w:val="004A7F3B"/>
    <w:rsid w:val="004B147B"/>
    <w:rsid w:val="004B36C5"/>
    <w:rsid w:val="004E1161"/>
    <w:rsid w:val="004E3278"/>
    <w:rsid w:val="00546582"/>
    <w:rsid w:val="00576C5D"/>
    <w:rsid w:val="00593352"/>
    <w:rsid w:val="005A1F8C"/>
    <w:rsid w:val="00685816"/>
    <w:rsid w:val="00686FDA"/>
    <w:rsid w:val="006D0AD8"/>
    <w:rsid w:val="0071609D"/>
    <w:rsid w:val="007170D4"/>
    <w:rsid w:val="0073194E"/>
    <w:rsid w:val="007A1F9A"/>
    <w:rsid w:val="007A44BC"/>
    <w:rsid w:val="007D2307"/>
    <w:rsid w:val="007E70A2"/>
    <w:rsid w:val="00801A4C"/>
    <w:rsid w:val="008A394E"/>
    <w:rsid w:val="008D2CEC"/>
    <w:rsid w:val="008E2DB1"/>
    <w:rsid w:val="00916B9F"/>
    <w:rsid w:val="0093498B"/>
    <w:rsid w:val="00981458"/>
    <w:rsid w:val="009B3172"/>
    <w:rsid w:val="009C72FC"/>
    <w:rsid w:val="009E5E8C"/>
    <w:rsid w:val="00A04012"/>
    <w:rsid w:val="00A47171"/>
    <w:rsid w:val="00A72E89"/>
    <w:rsid w:val="00AC3CC3"/>
    <w:rsid w:val="00B07E07"/>
    <w:rsid w:val="00B16B74"/>
    <w:rsid w:val="00BC6A0A"/>
    <w:rsid w:val="00BD74FE"/>
    <w:rsid w:val="00C9464D"/>
    <w:rsid w:val="00CB35D2"/>
    <w:rsid w:val="00D46DD6"/>
    <w:rsid w:val="00D82A70"/>
    <w:rsid w:val="00D919C6"/>
    <w:rsid w:val="00DA25C2"/>
    <w:rsid w:val="00E36A38"/>
    <w:rsid w:val="00E75DCD"/>
    <w:rsid w:val="00E81062"/>
    <w:rsid w:val="00EC18A0"/>
    <w:rsid w:val="00F45740"/>
    <w:rsid w:val="00F708CC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4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11</cp:revision>
  <cp:lastPrinted>2018-03-20T18:03:00Z</cp:lastPrinted>
  <dcterms:created xsi:type="dcterms:W3CDTF">2022-03-03T09:09:00Z</dcterms:created>
  <dcterms:modified xsi:type="dcterms:W3CDTF">2022-03-08T08:17:00Z</dcterms:modified>
</cp:coreProperties>
</file>