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BD36" w14:textId="4AC68585" w:rsidR="00F866BE" w:rsidRPr="00050B91" w:rsidRDefault="005A1F8C" w:rsidP="00050B91">
      <w:pPr>
        <w:jc w:val="center"/>
        <w:rPr>
          <w:b/>
          <w:sz w:val="32"/>
          <w:szCs w:val="32"/>
        </w:rPr>
      </w:pPr>
      <w:r w:rsidRPr="00050B91">
        <w:rPr>
          <w:b/>
          <w:sz w:val="32"/>
          <w:szCs w:val="32"/>
        </w:rPr>
        <w:t>Motu Proprio „</w:t>
      </w:r>
      <w:proofErr w:type="spellStart"/>
      <w:r w:rsidR="00941B5A">
        <w:rPr>
          <w:b/>
          <w:sz w:val="32"/>
          <w:szCs w:val="32"/>
        </w:rPr>
        <w:t>Mitis</w:t>
      </w:r>
      <w:proofErr w:type="spellEnd"/>
      <w:r w:rsidR="00941B5A">
        <w:rPr>
          <w:b/>
          <w:sz w:val="32"/>
          <w:szCs w:val="32"/>
        </w:rPr>
        <w:t xml:space="preserve"> </w:t>
      </w:r>
      <w:proofErr w:type="spellStart"/>
      <w:r w:rsidR="00941B5A">
        <w:rPr>
          <w:b/>
          <w:sz w:val="32"/>
          <w:szCs w:val="32"/>
        </w:rPr>
        <w:t>Iudex</w:t>
      </w:r>
      <w:proofErr w:type="spellEnd"/>
      <w:r w:rsidR="00941B5A">
        <w:rPr>
          <w:b/>
          <w:sz w:val="32"/>
          <w:szCs w:val="32"/>
        </w:rPr>
        <w:t xml:space="preserve"> Dominus Iesus“ vom 15.08.2015 </w:t>
      </w:r>
      <w:r w:rsidR="00050B91" w:rsidRPr="00050B91">
        <w:rPr>
          <w:b/>
          <w:sz w:val="32"/>
          <w:szCs w:val="32"/>
        </w:rPr>
        <w:t>(</w:t>
      </w:r>
      <w:r w:rsidRPr="00050B91">
        <w:rPr>
          <w:b/>
          <w:sz w:val="32"/>
          <w:szCs w:val="32"/>
        </w:rPr>
        <w:t>Druckvorlage</w:t>
      </w:r>
      <w:r w:rsidR="00050B91" w:rsidRPr="00050B91">
        <w:rPr>
          <w:b/>
          <w:sz w:val="32"/>
          <w:szCs w:val="32"/>
        </w:rPr>
        <w:t>)</w:t>
      </w:r>
    </w:p>
    <w:p w14:paraId="466BB55B" w14:textId="77777777" w:rsidR="005A1F8C" w:rsidRPr="00AC3CC3" w:rsidRDefault="005A1F8C">
      <w:pPr>
        <w:rPr>
          <w:sz w:val="24"/>
          <w:szCs w:val="24"/>
        </w:rPr>
      </w:pPr>
    </w:p>
    <w:tbl>
      <w:tblPr>
        <w:tblStyle w:val="Tabellenraster"/>
        <w:tblW w:w="14277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138"/>
        <w:gridCol w:w="7139"/>
      </w:tblGrid>
      <w:tr w:rsidR="003C2B7D" w:rsidRPr="00AC3CC3" w14:paraId="2DE84E29" w14:textId="77777777" w:rsidTr="00AC3CC3">
        <w:tc>
          <w:tcPr>
            <w:tcW w:w="7138" w:type="dxa"/>
          </w:tcPr>
          <w:p w14:paraId="407E0042" w14:textId="77777777" w:rsidR="00941B5A" w:rsidRPr="00941B5A" w:rsidRDefault="004E1161" w:rsidP="00941B5A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 w:rsidR="00916B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941B5A">
              <w:rPr>
                <w:rFonts w:cstheme="minorHAnsi"/>
                <w:b/>
                <w:bCs/>
                <w:sz w:val="24"/>
                <w:szCs w:val="24"/>
                <w:lang w:val="en-US"/>
              </w:rPr>
              <w:t>1671</w:t>
            </w:r>
            <w:r w:rsidR="00576C5D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="00576C5D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1. </w:t>
            </w:r>
            <w:proofErr w:type="spellStart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>Causae</w:t>
            </w:r>
            <w:proofErr w:type="spellEnd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>matrimoniales</w:t>
            </w:r>
            <w:proofErr w:type="spellEnd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>baptizatorum</w:t>
            </w:r>
            <w:proofErr w:type="spellEnd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>iure</w:t>
            </w:r>
            <w:proofErr w:type="spellEnd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proprio ad </w:t>
            </w:r>
            <w:proofErr w:type="spellStart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>iudicem</w:t>
            </w:r>
            <w:proofErr w:type="spellEnd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>ecclesiasticum</w:t>
            </w:r>
            <w:proofErr w:type="spellEnd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>spectant</w:t>
            </w:r>
            <w:proofErr w:type="spellEnd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0EB6A520" w14:textId="7E1DF4E4" w:rsidR="003C2B7D" w:rsidRPr="00AC3CC3" w:rsidRDefault="00941B5A" w:rsidP="00941B5A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Causae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effectibus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matrimonii mere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civilibus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pertinent ad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civilem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magistratum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, nisi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ius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particulare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statuat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easdem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causas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incidenter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accessorie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agantur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, posse a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iudice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ecclesiastico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cognosci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ac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definiri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2750DB21" w14:textId="77777777" w:rsidR="00941B5A" w:rsidRPr="00941B5A" w:rsidRDefault="004E1161" w:rsidP="00941B5A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 w:rsidR="00916B9F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941B5A">
              <w:rPr>
                <w:rFonts w:cstheme="minorHAnsi"/>
                <w:b/>
                <w:bCs/>
                <w:sz w:val="24"/>
                <w:szCs w:val="24"/>
                <w:lang w:val="en-US"/>
              </w:rPr>
              <w:t>1671</w:t>
            </w:r>
            <w:r w:rsidR="00576C5D"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="00576C5D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AC3CC3" w:rsidRPr="00AC3CC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C72FC" w:rsidRPr="00AC3CC3">
              <w:rPr>
                <w:rFonts w:cstheme="minorHAnsi"/>
                <w:bCs/>
                <w:sz w:val="24"/>
                <w:szCs w:val="24"/>
                <w:lang w:val="en-US"/>
              </w:rPr>
              <w:t xml:space="preserve">1. </w:t>
            </w:r>
            <w:proofErr w:type="spellStart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>Ehesachen</w:t>
            </w:r>
            <w:proofErr w:type="spellEnd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>Getauften</w:t>
            </w:r>
            <w:proofErr w:type="spellEnd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kraft </w:t>
            </w:r>
            <w:proofErr w:type="spellStart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>eigenen</w:t>
            </w:r>
            <w:proofErr w:type="spellEnd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>Rechtes</w:t>
            </w:r>
            <w:proofErr w:type="spellEnd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>Sache</w:t>
            </w:r>
            <w:proofErr w:type="spellEnd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>kirchlichen</w:t>
            </w:r>
            <w:proofErr w:type="spellEnd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>Richters</w:t>
            </w:r>
            <w:proofErr w:type="spellEnd"/>
            <w:r w:rsidR="00941B5A" w:rsidRPr="00941B5A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33DC8508" w14:textId="12350900" w:rsidR="003C2B7D" w:rsidRPr="00AC3CC3" w:rsidRDefault="00941B5A" w:rsidP="00941B5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Streitfragen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hinsichtlich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rein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bürgerlichen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Wirkungen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gehören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die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Zuständigkeit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weltlichen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Behörde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außer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Partikularrecht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bestimmt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dass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diese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Sachen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vom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kirchlichen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Richter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untersucht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entschieden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werden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können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, falls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sie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auf dem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Weg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eines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Zwischenstreites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neben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Hauptklage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zur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Behandlung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stehen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941B5A" w:rsidRPr="00AC3CC3" w14:paraId="3AD99401" w14:textId="77777777" w:rsidTr="0072407B">
        <w:tc>
          <w:tcPr>
            <w:tcW w:w="7138" w:type="dxa"/>
          </w:tcPr>
          <w:p w14:paraId="5AF7D2FC" w14:textId="072A5B88" w:rsidR="00941B5A" w:rsidRPr="00941B5A" w:rsidRDefault="00941B5A" w:rsidP="00941B5A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1672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In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causis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matrimonii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nullitate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quae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sint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Sedi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Apostolicae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reservatae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competentia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sunt:</w:t>
            </w:r>
          </w:p>
          <w:p w14:paraId="7065EC1B" w14:textId="7F062095" w:rsidR="00941B5A" w:rsidRPr="00941B5A" w:rsidRDefault="00941B5A" w:rsidP="00941B5A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1° tribunal loci in quo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matrimonium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celebratum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est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</w:p>
          <w:p w14:paraId="111FAA7E" w14:textId="291CEC77" w:rsidR="00941B5A" w:rsidRPr="00941B5A" w:rsidRDefault="00941B5A" w:rsidP="00941B5A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2° tribunal loci in quo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alterutra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utraque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pars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domicilium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quasi-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domicilium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habet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</w:p>
          <w:p w14:paraId="423ABEFD" w14:textId="06DC5FCB" w:rsidR="00941B5A" w:rsidRPr="00AC3CC3" w:rsidRDefault="00941B5A" w:rsidP="00941B5A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3° tribunal loci in quo de facto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colligendae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sunt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pleraeque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probationes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24A98230" w14:textId="77777777" w:rsidR="00941B5A" w:rsidRPr="00941B5A" w:rsidRDefault="00941B5A" w:rsidP="00941B5A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1672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Für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Ehenichtigkeitsprozesse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dem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Apostolischen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Stuhl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vorbehalten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zuständig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:</w:t>
            </w:r>
          </w:p>
          <w:p w14:paraId="15F4383E" w14:textId="77777777" w:rsidR="00941B5A" w:rsidRPr="00941B5A" w:rsidRDefault="00941B5A" w:rsidP="00941B5A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1° das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Gericht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Eheschließungsortes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</w:p>
          <w:p w14:paraId="551E5CF7" w14:textId="77777777" w:rsidR="00941B5A" w:rsidRPr="00941B5A" w:rsidRDefault="00941B5A" w:rsidP="00941B5A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2° das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Gericht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Wohnsitzes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Nebenwohnsitzes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beider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Parteien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</w:p>
          <w:p w14:paraId="27A688C4" w14:textId="08E163A6" w:rsidR="00941B5A" w:rsidRPr="00AC3CC3" w:rsidRDefault="00941B5A" w:rsidP="00941B5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3° das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Gericht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Ortes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, an dem die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meisten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Beweise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tatsächlich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erheben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Pr="00941B5A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77963082" w14:textId="77777777" w:rsidR="009D4BED" w:rsidRDefault="009D4BED">
      <w:r>
        <w:br w:type="page"/>
      </w:r>
    </w:p>
    <w:tbl>
      <w:tblPr>
        <w:tblStyle w:val="Tabellenraster"/>
        <w:tblW w:w="14277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138"/>
        <w:gridCol w:w="7139"/>
      </w:tblGrid>
      <w:tr w:rsidR="00941B5A" w:rsidRPr="00AC3CC3" w14:paraId="6C5EC63E" w14:textId="77777777" w:rsidTr="0072407B">
        <w:tc>
          <w:tcPr>
            <w:tcW w:w="7138" w:type="dxa"/>
          </w:tcPr>
          <w:p w14:paraId="3A1383F9" w14:textId="0D89B94B" w:rsidR="00CC5FAF" w:rsidRPr="00CC5FAF" w:rsidRDefault="00941B5A" w:rsidP="00CC5FAF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lastRenderedPageBreak/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1673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§ 1. </w:t>
            </w:r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In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unaquaque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dioecesi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iudex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primae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instantiae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pro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causis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nullitatis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matrimonii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iure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expresse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exceptis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est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Episcopus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dioecesanus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qui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iudicialem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potestatem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exercere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potest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per se ipse vel per alios, ad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normam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iuris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19BAAC52" w14:textId="6FA0C041" w:rsidR="00CC5FAF" w:rsidRPr="00CC5FAF" w:rsidRDefault="00CC5FAF" w:rsidP="00CC5FAF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Episcopus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pro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sua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dioecesi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tribunal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dioecesanum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constituat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pro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causis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nullitatis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matrimonii,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salva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facultate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ipsius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Episcopi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accedendi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aliud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dioecesanum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interdioecesanum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vicinius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tribunal.</w:t>
            </w:r>
          </w:p>
          <w:p w14:paraId="29718D7F" w14:textId="77777777" w:rsidR="00CC5FAF" w:rsidRPr="00CC5FAF" w:rsidRDefault="00CC5FAF" w:rsidP="00CC5FAF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044E1476" w14:textId="7A2022B0" w:rsidR="00CC5FAF" w:rsidRPr="00CC5FAF" w:rsidRDefault="00CC5FAF" w:rsidP="00CC5FAF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Causae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matrimonii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nullitate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collegio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trium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iudicum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reservantur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. Eidem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praeesse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debet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iudex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clericus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reliqui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iudices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etiam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laici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esse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possunt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4273A5BE" w14:textId="10CDA72E" w:rsidR="00CC5FAF" w:rsidRPr="00CC5FAF" w:rsidRDefault="00CC5FAF" w:rsidP="00CC5FAF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Episcopus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Moderator,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tribunal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collegiale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constitui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nequeat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dioecesi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in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viciniore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tribunali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normam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§</w:t>
            </w:r>
            <w:r w:rsidR="006D511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electo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causas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unico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iudici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clerico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committat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qui, ubi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fieri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possit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duos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assessores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probatae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vitae,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peritos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scientiis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iuridicis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humanis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ab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Episcopo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ad hoc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munus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approbatos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sibi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asciscat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eidem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iudici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unico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nisi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aliud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constet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ea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competunt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quae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collegio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praesidi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ponenti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tribuuntur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69AA50AC" w14:textId="77777777" w:rsidR="00CC5FAF" w:rsidRPr="00CC5FAF" w:rsidRDefault="00CC5FAF" w:rsidP="00CC5FAF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6AA5C996" w14:textId="4A4EAB4B" w:rsidR="00CC5FAF" w:rsidRDefault="00CC5FAF" w:rsidP="00CC5FAF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470E364F" w14:textId="77777777" w:rsidR="00CC5FAF" w:rsidRPr="00CC5FAF" w:rsidRDefault="00CC5FAF" w:rsidP="00CC5FAF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75337D38" w14:textId="7B59B984" w:rsidR="00CC5FAF" w:rsidRPr="00CC5FAF" w:rsidRDefault="00CC5FAF" w:rsidP="00CC5FAF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5. Tribunal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secundae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instantiae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validitatem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semper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collegiale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esse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debet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iuxta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praescriptum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praecedentis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§</w:t>
            </w:r>
            <w:r w:rsidR="006D511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3.</w:t>
            </w:r>
          </w:p>
          <w:p w14:paraId="7BFD9B30" w14:textId="2498AEC2" w:rsidR="00941B5A" w:rsidRPr="00AC3CC3" w:rsidRDefault="00CC5FAF" w:rsidP="00CC5FAF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6. A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tribunali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primae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instantiae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appellatur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ad tribunal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metropolitanum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secundae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instantiae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salvis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praescriptis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cann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  <w:r w:rsidR="006D511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1438</w:t>
            </w:r>
            <w:r w:rsidR="006D511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1439 et 1444.</w:t>
            </w:r>
          </w:p>
        </w:tc>
        <w:tc>
          <w:tcPr>
            <w:tcW w:w="7139" w:type="dxa"/>
          </w:tcPr>
          <w:p w14:paraId="229A3D5D" w14:textId="6C045C3E" w:rsidR="00CC5FAF" w:rsidRPr="00CC5FAF" w:rsidRDefault="00941B5A" w:rsidP="00CC5FAF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167</w:t>
            </w:r>
            <w:r w:rsidR="00CC5FAF">
              <w:rPr>
                <w:rFonts w:cstheme="minorHAnsi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§ 1. </w:t>
            </w:r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In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jeder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Diözese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Richter der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ersten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Instanz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für alle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vom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Recht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ausdrücklich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ausgenommenen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Ehenichtigkeitsverfahren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Diözesanbischof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der die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richterliche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Gewalt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gemäß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Rechtsvorschrift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persönlich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durch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andere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ausüben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>kann</w:t>
            </w:r>
            <w:proofErr w:type="spellEnd"/>
            <w:r w:rsidR="00CC5FAF"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. </w:t>
            </w:r>
          </w:p>
          <w:p w14:paraId="1230D6AE" w14:textId="38C5A514" w:rsidR="00CC5FAF" w:rsidRPr="00CC5FAF" w:rsidRDefault="00CC5FAF" w:rsidP="00CC5FAF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2. Der Bischof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errichtet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für seine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Diözese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Diözesangericht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für die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Ehenichtigkeitsverfahren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wobei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demselben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Bischof das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Recht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zusteht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sich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an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anderes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diözesanes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interdiözesanes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Gericht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der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Nähe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wenden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76A88608" w14:textId="629544A7" w:rsidR="00CC5FAF" w:rsidRPr="00CC5FAF" w:rsidRDefault="00CC5FAF" w:rsidP="00CC5FAF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3. Die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Ehenichtigkeitsverfahren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einem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Kollegium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drei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Richtern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vorbehalten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Diesem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muss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Richter, der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Kleriker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vorstehen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übrigen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Richter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können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auch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Laien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sein.</w:t>
            </w:r>
          </w:p>
          <w:p w14:paraId="3A2AE348" w14:textId="75CF9055" w:rsidR="00CC5FAF" w:rsidRPr="00CC5FAF" w:rsidRDefault="00CC5FAF" w:rsidP="00CC5FAF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4. Als Moderator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soll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Bischof,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Kollegialgericht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der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Diözese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bei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gemäß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Vorschrift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§</w:t>
            </w:r>
            <w:r w:rsidR="006D511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gewählten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nahegelegenen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Gericht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eingerichtet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werden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kann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Fälle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einem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Einzelrichter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der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Kleriker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übertragen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der – wo es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möglich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zwei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Beisitzer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bewährter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Lebensführung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Fachleute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Rechts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Humanwissenschaften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hinzuzieht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vom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Bischof für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diese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Aufgabe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zugelassen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wurden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demselben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Einzelrichter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kommen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nichts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anderes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feststeht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all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jene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Kompetenzen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einem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Kollegium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dem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Vorsitzenden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Berichterstatter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zugewiesen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1A5E1D19" w14:textId="706CAB12" w:rsidR="00CC5FAF" w:rsidRPr="00CC5FAF" w:rsidRDefault="00CC5FAF" w:rsidP="00CC5FAF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5. Der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Gerichtshof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zweiten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Instanz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muss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zur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Gültigkeit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immer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kollegial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sein,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gemäß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Bestimmung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vorangegangenen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§</w:t>
            </w:r>
            <w:r w:rsidR="006D511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3.</w:t>
            </w:r>
          </w:p>
          <w:p w14:paraId="46EC2546" w14:textId="108496CA" w:rsidR="00941B5A" w:rsidRPr="00AC3CC3" w:rsidRDefault="00CC5FAF" w:rsidP="00CC5FA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Vom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Gericht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erster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Instanz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ergeht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Berufung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an das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Metropolitangericht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zweiter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Instanz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unbeschadet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Vorschriften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cann</w:t>
            </w:r>
            <w:proofErr w:type="spellEnd"/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  <w:r w:rsidR="006D511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1438</w:t>
            </w:r>
            <w:r w:rsidR="006D511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Pr="00CC5FAF">
              <w:rPr>
                <w:rFonts w:cstheme="minorHAnsi"/>
                <w:bCs/>
                <w:sz w:val="24"/>
                <w:szCs w:val="24"/>
                <w:lang w:val="en-US"/>
              </w:rPr>
              <w:t>1439 und 1444.</w:t>
            </w:r>
          </w:p>
        </w:tc>
      </w:tr>
      <w:tr w:rsidR="004A3833" w:rsidRPr="00AC3CC3" w14:paraId="4A430822" w14:textId="77777777" w:rsidTr="0072407B">
        <w:tc>
          <w:tcPr>
            <w:tcW w:w="7138" w:type="dxa"/>
          </w:tcPr>
          <w:p w14:paraId="01DB2E41" w14:textId="25858362" w:rsidR="004A3833" w:rsidRPr="004A3833" w:rsidRDefault="004A3833" w:rsidP="004A3833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lastRenderedPageBreak/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1674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 § 1.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Habiles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sunt ad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matrimonium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impugnandum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:</w:t>
            </w:r>
          </w:p>
          <w:p w14:paraId="508A3793" w14:textId="77777777" w:rsidR="004A3833" w:rsidRPr="004A3833" w:rsidRDefault="004A3833" w:rsidP="004A3833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6182D294" w14:textId="0E0E0DF0" w:rsidR="004A3833" w:rsidRPr="004A3833" w:rsidRDefault="004A3833" w:rsidP="004A3833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1°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coniuges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</w:p>
          <w:p w14:paraId="72D54FE1" w14:textId="4C3960AA" w:rsidR="004A3833" w:rsidRPr="004A3833" w:rsidRDefault="004A3833" w:rsidP="004A3833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2° promotor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iustitiae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, cum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nullitas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iam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divulgata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est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matrimonium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convalidari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nequeat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aut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expediat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7C665BF4" w14:textId="425A75CF" w:rsidR="004A3833" w:rsidRPr="004A3833" w:rsidRDefault="004A3833" w:rsidP="004A3833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514F65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Matrimonium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quod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, utroque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coniuge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vivente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, non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fuit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accusatum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, post mortem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alterutrius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utriusque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coniugis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accusari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potest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, nisi quaestio de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validitate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sit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praeiudicialis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aliam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solvendam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controversiam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sive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foro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canonico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sive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foro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civili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7DE28B29" w14:textId="77777777" w:rsidR="004A3833" w:rsidRPr="004A3833" w:rsidRDefault="004A3833" w:rsidP="004A3833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15F02C7C" w14:textId="59C3366F" w:rsidR="004A3833" w:rsidRPr="00AC3CC3" w:rsidRDefault="004A3833" w:rsidP="004A3833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514F65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3. Si autem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coniux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moriatur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pendente causa,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servetur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can.</w:t>
            </w:r>
            <w:r w:rsidR="00514F65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1518.</w:t>
            </w:r>
          </w:p>
        </w:tc>
        <w:tc>
          <w:tcPr>
            <w:tcW w:w="7139" w:type="dxa"/>
          </w:tcPr>
          <w:p w14:paraId="5E87A120" w14:textId="69CD1DCB" w:rsidR="004A3833" w:rsidRPr="004A3833" w:rsidRDefault="004A3833" w:rsidP="004A3833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1674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 § 1. </w:t>
            </w:r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Befugnis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zur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Klage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gegen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Gültigkeit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haben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:</w:t>
            </w:r>
          </w:p>
          <w:p w14:paraId="143D4070" w14:textId="310C215C" w:rsidR="004A3833" w:rsidRPr="004A3833" w:rsidRDefault="004A3833" w:rsidP="004A3833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1° die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Ehegatten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</w:p>
          <w:p w14:paraId="0CDDCD2D" w14:textId="77777777" w:rsidR="004A3833" w:rsidRPr="004A3833" w:rsidRDefault="004A3833" w:rsidP="004A3833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2° der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Kirchenanwalt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Nichtigkeit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bereits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bekannt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deren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Gültigmachung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aber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möglich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zweckmäßig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3414EB93" w14:textId="7963CF5A" w:rsidR="004A3833" w:rsidRPr="004A3833" w:rsidRDefault="004A3833" w:rsidP="004A3833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514F65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Gültigkeit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Lebzeiten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beider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Gatten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angefochten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worden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kann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sie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Tod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eines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beider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Gatten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mehr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angefochten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werden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außer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Frage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Gültigkeit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zuvor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entscheiden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damit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eine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andere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Streitfrage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vor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kirchlichen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weltlichen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Gericht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gelöst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werden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kann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18E5FDB7" w14:textId="02DDC52E" w:rsidR="004A3833" w:rsidRPr="00AC3CC3" w:rsidRDefault="004A3833" w:rsidP="004A383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514F65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Stirbt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jedoch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Gatte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während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Verfahrens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, so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can.</w:t>
            </w:r>
            <w:r w:rsidR="00514F65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1518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verfahren</w:t>
            </w:r>
            <w:proofErr w:type="spellEnd"/>
            <w:r w:rsidRPr="004A3833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4A3833" w:rsidRPr="00AC3CC3" w14:paraId="637FF3DC" w14:textId="77777777" w:rsidTr="0072407B">
        <w:tc>
          <w:tcPr>
            <w:tcW w:w="7138" w:type="dxa"/>
          </w:tcPr>
          <w:p w14:paraId="179F9C6D" w14:textId="33A0F48A" w:rsidR="004A3833" w:rsidRPr="00AC3CC3" w:rsidRDefault="004A3833" w:rsidP="0072407B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167</w:t>
            </w:r>
            <w:r w:rsidR="009D4BED">
              <w:rPr>
                <w:rFonts w:cstheme="minorHAnsi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Iudex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antequam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causam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acceptet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certior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fieri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debet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matrimonium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irreparabiliter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pessum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ivisse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ita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ut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coniugalis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convictus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restitui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nequeat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49DDF800" w14:textId="1A1E3436" w:rsidR="004A3833" w:rsidRPr="00AC3CC3" w:rsidRDefault="004A3833" w:rsidP="0072407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167</w:t>
            </w:r>
            <w:r w:rsidR="009D4BED">
              <w:rPr>
                <w:rFonts w:cstheme="minorHAnsi"/>
                <w:b/>
                <w:bCs/>
                <w:sz w:val="24"/>
                <w:szCs w:val="24"/>
                <w:lang w:val="en-US"/>
              </w:rPr>
              <w:t>5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Bevor der Richter die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Ehesache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annimmt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muss er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zur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Überzeugung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gelangt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sein,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dass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irreparabel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gescheitert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sodass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eheliche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Zusammenleben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wiederhergestellt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werden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kann</w:t>
            </w:r>
            <w:proofErr w:type="spellEnd"/>
            <w:r w:rsidR="009D4BED" w:rsidRPr="009D4BE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3FDECF9D" w14:textId="77777777" w:rsidR="009D4BED" w:rsidRDefault="009D4BED">
      <w:r>
        <w:br w:type="page"/>
      </w:r>
    </w:p>
    <w:tbl>
      <w:tblPr>
        <w:tblStyle w:val="Tabellenraster"/>
        <w:tblW w:w="14277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138"/>
        <w:gridCol w:w="7139"/>
      </w:tblGrid>
      <w:tr w:rsidR="009D4BED" w:rsidRPr="00AC3CC3" w14:paraId="4D6E8C65" w14:textId="77777777" w:rsidTr="0072407B">
        <w:tc>
          <w:tcPr>
            <w:tcW w:w="7138" w:type="dxa"/>
          </w:tcPr>
          <w:p w14:paraId="0DAE8749" w14:textId="10E22179" w:rsidR="009D4BED" w:rsidRPr="009D4BED" w:rsidRDefault="009D4BED" w:rsidP="009D4BE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lastRenderedPageBreak/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1676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 § 1.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Recepto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libello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Vicarius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iudicialis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aestimet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eum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aliquo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fundamento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niti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eum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admittat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et,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decreto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calcem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ipsius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libelli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apposito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praecipiat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ut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exemplar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notificetur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defensori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vinculi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et, nisi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libellus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ab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utraque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parte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subscriptus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fuerit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parti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conventae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eidem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dato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termino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quindecim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dierum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suam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mentem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petitione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aperiendam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7B88AA7F" w14:textId="183CCE18" w:rsidR="009D4BED" w:rsidRDefault="009D4BED" w:rsidP="009D4BED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6FBB39DF" w14:textId="77777777" w:rsidR="00632EC6" w:rsidRPr="009D4BED" w:rsidRDefault="00632EC6" w:rsidP="009D4BED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4501C611" w14:textId="77777777" w:rsidR="009D4BED" w:rsidRPr="009D4BED" w:rsidRDefault="009D4BED" w:rsidP="009D4BED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701864CC" w14:textId="16FA9955" w:rsidR="009D4BED" w:rsidRPr="009D4BED" w:rsidRDefault="009D4BED" w:rsidP="009D4BE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Praefato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termino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transacto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altera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parte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quatenus, iterum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monita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ad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suam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mentem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ostendendam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audito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vinculi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defensore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Vicarius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iudicialis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suo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decreto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dubii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formulam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determinet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decernat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utrum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causa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processu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ordinario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an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processu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breviore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mentem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cann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  <w:r w:rsidR="00514F65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1683</w:t>
            </w:r>
            <w:r w:rsidR="00514F65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1687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pertractanda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sit.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Quod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decretum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partibus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vinculi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defensori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statim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notificetur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0F8E1FAD" w14:textId="77777777" w:rsidR="009D4BED" w:rsidRPr="009D4BED" w:rsidRDefault="009D4BED" w:rsidP="009D4BED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5A61ECEA" w14:textId="59114E3F" w:rsidR="009D4BED" w:rsidRPr="009D4BED" w:rsidRDefault="009D4BED" w:rsidP="009D4BE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3. Si causa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ordinario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processu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tractanda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est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Vicarius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iudicialis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eodem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decreto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constitutionem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iudicum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collegii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iudicis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unici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cum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duobus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assessoribus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iuxta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can.</w:t>
            </w:r>
            <w:r w:rsidR="00632EC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1673, §</w:t>
            </w:r>
            <w:r w:rsidR="00632EC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disponat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79CAA844" w14:textId="77777777" w:rsidR="009D4BED" w:rsidRPr="009D4BED" w:rsidRDefault="009D4BED" w:rsidP="009D4BED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6EA6420B" w14:textId="6C954096" w:rsidR="009D4BED" w:rsidRPr="009D4BED" w:rsidRDefault="009D4BED" w:rsidP="009D4BE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4. Si autem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processus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brevior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statutus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est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Vicarius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iudicialis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agat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ad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normam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can.</w:t>
            </w:r>
            <w:r w:rsidR="00632EC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1685.</w:t>
            </w:r>
          </w:p>
          <w:p w14:paraId="0798B45F" w14:textId="1E26B58F" w:rsidR="009D4BED" w:rsidRPr="00AC3CC3" w:rsidRDefault="009D4BED" w:rsidP="009D4BED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5. Formula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dubii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determinare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debet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quo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capite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quibus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capitibus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nuptiarum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validitas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impugnetur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1A08EA16" w14:textId="01A0FDFF" w:rsidR="009D4BED" w:rsidRPr="009D4BED" w:rsidRDefault="009D4BED" w:rsidP="009D4BE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1676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 § 1.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Erhalt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Klageschrift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muss der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Gerichtsvikar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sie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er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sie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als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irgendwie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begründet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beurteilt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zulassen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indem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er seine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Entscheidung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am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unteren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Rand der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Klageschrift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vermerkt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verfügen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dass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eine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Abschrift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Ehebandverteidiger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und, falls die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Klageschrift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beiden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Parteien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unterschrieben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wurde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der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nichtklagenden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Partei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bekannt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gegeben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welcher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Zeitraum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von </w:t>
            </w:r>
            <w:proofErr w:type="spellStart"/>
            <w:r w:rsidR="00632EC6">
              <w:rPr>
                <w:rFonts w:cstheme="minorHAnsi"/>
                <w:bCs/>
                <w:sz w:val="24"/>
                <w:szCs w:val="24"/>
                <w:lang w:val="en-US"/>
              </w:rPr>
              <w:t>fünfzehn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Tagen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gegeben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ihre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Stellungnahme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zum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Antrag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abzugeben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6309109A" w14:textId="520F5C10" w:rsidR="009D4BED" w:rsidRPr="009D4BED" w:rsidRDefault="009D4BED" w:rsidP="009D4BE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Ablauf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zuvor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genannten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Frist und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nachdem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andere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Partei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unter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Umständen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nochmals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ermahnt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wurde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ihre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Meinung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kundzutun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hat der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Gerichtsvikar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Anhörung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Bandverteidigers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mit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seinem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Dekret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Streitpunktformel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festzulegen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entscheiden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ob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Ehesache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durch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ordentlichen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Prozess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durch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kürzeren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Prozess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Sinne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cann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  <w:r w:rsidR="00632EC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1683</w:t>
            </w:r>
            <w:r w:rsidR="00632EC6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1687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behandeln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. Dieses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Dekret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Parteien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dem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Ehebandverteidiger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sofort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bekannt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geben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6DCED024" w14:textId="6379F0A9" w:rsidR="009D4BED" w:rsidRPr="009D4BED" w:rsidRDefault="009D4BED" w:rsidP="009D4BE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Ehesache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durch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ordentlichen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Prozess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behandeln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hat der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Gerichtsvikar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mit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demselben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Dekret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Einsetzung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Richterkollegiums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Einzelrichters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mit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zwei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Beisitzern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gemäß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can.</w:t>
            </w:r>
            <w:r w:rsidR="00632EC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1673 §</w:t>
            </w:r>
            <w:r w:rsidR="00632EC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verfügen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3213DA02" w14:textId="5874E015" w:rsidR="009D4BED" w:rsidRPr="009D4BED" w:rsidRDefault="009D4BED" w:rsidP="009D4BE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jedoch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kürzere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Prozess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festgelegt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wurde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geht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Gerichtsvikar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Vorschrift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can.</w:t>
            </w:r>
            <w:r w:rsidR="00632EC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1685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vor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55D0FC5E" w14:textId="4B5E593E" w:rsidR="009D4BED" w:rsidRPr="00AC3CC3" w:rsidRDefault="009D4BED" w:rsidP="009D4BE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5. Die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Streitpunktformel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muss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festlegen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aus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welchem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Grund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welchen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Gründen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Gültigkeit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angefochten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Pr="009D4BED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42CB2C87" w14:textId="77777777" w:rsidR="00530038" w:rsidRDefault="00530038">
      <w:r>
        <w:br w:type="page"/>
      </w:r>
    </w:p>
    <w:tbl>
      <w:tblPr>
        <w:tblStyle w:val="Tabellenraster"/>
        <w:tblW w:w="14277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138"/>
        <w:gridCol w:w="7139"/>
      </w:tblGrid>
      <w:tr w:rsidR="00530038" w:rsidRPr="00AC3CC3" w14:paraId="24C44767" w14:textId="77777777" w:rsidTr="0072407B">
        <w:tc>
          <w:tcPr>
            <w:tcW w:w="7138" w:type="dxa"/>
          </w:tcPr>
          <w:p w14:paraId="3B8949ED" w14:textId="16C56551" w:rsidR="00530038" w:rsidRPr="00530038" w:rsidRDefault="00530038" w:rsidP="0072407B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lastRenderedPageBreak/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1677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 § 1.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Defensori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vinculi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partium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patronis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et,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iudicio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sit,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etiam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promotori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iustitiae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ius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est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:</w:t>
            </w:r>
          </w:p>
          <w:p w14:paraId="1CE5E689" w14:textId="4BC648C2" w:rsidR="00530038" w:rsidRPr="00530038" w:rsidRDefault="00530038" w:rsidP="0072407B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1°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examini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partium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testium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peritorum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adesse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salvo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praescripto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can.</w:t>
            </w:r>
            <w:r w:rsidR="00632EC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1559;</w:t>
            </w:r>
          </w:p>
          <w:p w14:paraId="3AC9DCA7" w14:textId="10E22674" w:rsidR="00530038" w:rsidRPr="00530038" w:rsidRDefault="00530038" w:rsidP="0072407B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2° acta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iudicialia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etsi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nondum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publicata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invisere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documenta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partibus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producta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recognoscere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6D22C610" w14:textId="77777777" w:rsidR="00530038" w:rsidRPr="00AC3CC3" w:rsidRDefault="00530038" w:rsidP="0072407B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Examini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, de quo in 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1, n.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1,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partes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assistere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nequeunt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6A153405" w14:textId="77777777" w:rsidR="00530038" w:rsidRPr="00530038" w:rsidRDefault="00530038" w:rsidP="0072407B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1677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 § 1. 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Bandverteidiger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Parteibeistände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beteiligt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Kirchenanwalt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haben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Recht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:</w:t>
            </w:r>
          </w:p>
          <w:p w14:paraId="4A798659" w14:textId="735DBA40" w:rsidR="00530038" w:rsidRPr="00530038" w:rsidRDefault="00530038" w:rsidP="0072407B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1°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bei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Vernehmung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Parteien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Zeugen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Sachverständigen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unbeschadet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Vorschrift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can.</w:t>
            </w:r>
            <w:r w:rsidR="00632EC6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1559,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zugegen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sein;</w:t>
            </w:r>
          </w:p>
          <w:p w14:paraId="3323D8B4" w14:textId="77777777" w:rsidR="00530038" w:rsidRPr="00530038" w:rsidRDefault="00530038" w:rsidP="0072407B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2°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Gerichtsakten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selbst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sie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noch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offengelegt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einzusehen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die von den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Parteien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vorgelegten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Urkunden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prüfen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013D391A" w14:textId="77777777" w:rsidR="00530038" w:rsidRPr="00AC3CC3" w:rsidRDefault="00530038" w:rsidP="0072407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2. Die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Parteien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dürfen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in 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1, n.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genannten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Vernehmung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beiwohnen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3896285A" w14:textId="77777777" w:rsidR="00530038" w:rsidRDefault="00530038">
      <w:r>
        <w:br w:type="page"/>
      </w:r>
    </w:p>
    <w:tbl>
      <w:tblPr>
        <w:tblStyle w:val="Tabellenraster"/>
        <w:tblW w:w="14277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138"/>
        <w:gridCol w:w="7139"/>
      </w:tblGrid>
      <w:tr w:rsidR="00530038" w:rsidRPr="00AC3CC3" w14:paraId="07D00F97" w14:textId="77777777" w:rsidTr="0072407B">
        <w:tc>
          <w:tcPr>
            <w:tcW w:w="7138" w:type="dxa"/>
          </w:tcPr>
          <w:p w14:paraId="3FCE3BC9" w14:textId="11E663C6" w:rsidR="00530038" w:rsidRPr="00530038" w:rsidRDefault="00530038" w:rsidP="00530038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lastRenderedPageBreak/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1678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 § 1. 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In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causis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matrimonii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nullitate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confessio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iudicialis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partium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declarationes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testibus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forte de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ipsarum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partium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credibilitate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sustentae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vim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plenae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probationis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habere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possunt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iudice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aestimandam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perpensis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omnibus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indiciis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adminiculis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nisi alia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accedant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elementa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quae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eas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infirment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65D85DBE" w14:textId="77777777" w:rsidR="00530038" w:rsidRPr="00530038" w:rsidRDefault="00530038" w:rsidP="00530038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3891260E" w14:textId="061A8A8F" w:rsidR="00530038" w:rsidRPr="00530038" w:rsidRDefault="00530038" w:rsidP="00530038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2. In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iisdem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causis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depositio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unius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testis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plenam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fidem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facere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potest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agatur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teste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qualificato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qui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deponat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rebus ex officio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gestis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aut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rerum et personarum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adiuncta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id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suadeant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. </w:t>
            </w:r>
          </w:p>
          <w:p w14:paraId="336DAD5F" w14:textId="77777777" w:rsidR="00530038" w:rsidRPr="00530038" w:rsidRDefault="00530038" w:rsidP="00530038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11A0D787" w14:textId="77777777" w:rsidR="00530038" w:rsidRPr="00530038" w:rsidRDefault="00530038" w:rsidP="00530038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62790A7E" w14:textId="49EBEA44" w:rsidR="00530038" w:rsidRPr="00530038" w:rsidRDefault="00530038" w:rsidP="00530038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F553AE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3. In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causis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impotentia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de consensus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defectu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propter mentis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morbum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anomaliam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naturae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psychicae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iudex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unius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periti vel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plurium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opera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utatur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nisi ex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adiunctis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inutilis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evidenter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appareat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; in ceteris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causis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servetur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praescriptum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can.</w:t>
            </w:r>
            <w:r w:rsidR="00F553AE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1574.</w:t>
            </w:r>
          </w:p>
          <w:p w14:paraId="5894634E" w14:textId="77777777" w:rsidR="00530038" w:rsidRPr="00530038" w:rsidRDefault="00530038" w:rsidP="00530038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4FB297E1" w14:textId="77777777" w:rsidR="00530038" w:rsidRPr="00530038" w:rsidRDefault="00530038" w:rsidP="00530038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770C59DC" w14:textId="2AFE9667" w:rsidR="00530038" w:rsidRPr="00AC3CC3" w:rsidRDefault="00530038" w:rsidP="00530038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F553AE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Quoties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instructione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causae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dubium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valde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probabile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emerserit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non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secuta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matrimonii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consummatione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tribunal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potest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auditis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partibus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causam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nullitatis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suspendere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instructionem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complere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pro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dispensatione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super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rato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ac tandem acta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transmittere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Sedem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Apostolicam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una cum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petitione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dispensationis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ab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alterutro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utroque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coniuge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cum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voto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tribunalis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Episcopi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7FC2C566" w14:textId="77777777" w:rsidR="00530038" w:rsidRPr="00530038" w:rsidRDefault="00530038" w:rsidP="00530038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1678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 § 1. 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In den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Ehenichtigkeitsverfahren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können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gerichtliche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Geständnis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die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Erklärungen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Parteien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möglicherweise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gestützt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durch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Zeugen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zur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Glaubwürdigkeit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derselben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Parteien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volle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Beweiskraft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haben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was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vom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Richter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unter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Abwägung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aller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Indizien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Beweisstützen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beurteilen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sofern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andere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Elemente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hinzukommen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sie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abschwächen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6E1BE066" w14:textId="5FA8C3B3" w:rsidR="00530038" w:rsidRPr="00530038" w:rsidRDefault="00530038" w:rsidP="00530038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2. In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denselben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Verfahren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kann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Aussage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eines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einzigen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Zeugen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voller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Glauben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geschenkt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werden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es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sich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um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einen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qualifizierten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Zeugen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handelt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über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ihm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amtlich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behandelte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Dinge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aussagt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bei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die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sachlichen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persönlichen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Umstände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nahelegen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3E7C9D1E" w14:textId="0AB8BE61" w:rsidR="00530038" w:rsidRPr="00530038" w:rsidRDefault="00530038" w:rsidP="00530038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F553AE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3. In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Prozessen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mit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Klagegrund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geschlechtlichen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Unvermögens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Konsensmangels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wegen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Geisteskrankheit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Anomalie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psychischer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Natur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hat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sich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Richter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Hilfe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eines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mehrerer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Sachverständiger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bedienen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sofern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aufgrund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Umstände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offenkundig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als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zwecklos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erscheint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; in den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sonstigen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Verfahren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Vorschrift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can.</w:t>
            </w:r>
            <w:r w:rsidR="00F553AE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1574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beachten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3279DAEA" w14:textId="44FC5F99" w:rsidR="00530038" w:rsidRPr="00AC3CC3" w:rsidRDefault="00530038" w:rsidP="005300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F553AE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während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Verfahrens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wohlbegründete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Zweifel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aufgetaucht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ob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vollzogen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worden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so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kann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Gericht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Anhörung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Parteien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Nichtigkeitsprozess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aussetzen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Beweiserhebung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Hinsicht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auf die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Dispens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von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="00F553AE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vollzogenen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ergänzen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anschließend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Akten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Apostolischen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Stuhl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zuleiten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zusammen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mit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Bittgesuch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Partei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beider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Parteien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um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Dispens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mit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Gutachten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Gerichtes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des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Bischofs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530038" w:rsidRPr="00AC3CC3" w14:paraId="70EB2D2E" w14:textId="77777777" w:rsidTr="0072407B">
        <w:tc>
          <w:tcPr>
            <w:tcW w:w="7138" w:type="dxa"/>
          </w:tcPr>
          <w:p w14:paraId="1679DF34" w14:textId="71E2E66F" w:rsidR="00530038" w:rsidRPr="00AC3CC3" w:rsidRDefault="00530038" w:rsidP="0072407B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1679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Sententia,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quae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matrimonii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nullitatem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primum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declaravit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elapsis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terminis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cann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  <w:r w:rsidR="00F553AE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1630</w:t>
            </w:r>
            <w:r w:rsidR="00F553AE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1633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ordinatis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fit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exsecutiva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536F53B5" w14:textId="6B94E8D2" w:rsidR="00530038" w:rsidRPr="00AC3CC3" w:rsidRDefault="00530038" w:rsidP="0072407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1679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Das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Urteil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das die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Nichtigkeit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erstmals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festgestellt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hat,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Ablauf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in den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cann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  <w:r w:rsidR="00F553AE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1630</w:t>
            </w:r>
            <w:r w:rsidR="00F553AE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1633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festgelegten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Fristen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vollstreckbar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530038" w:rsidRPr="00AC3CC3" w14:paraId="3FF5469E" w14:textId="77777777" w:rsidTr="0072407B">
        <w:tc>
          <w:tcPr>
            <w:tcW w:w="7138" w:type="dxa"/>
          </w:tcPr>
          <w:p w14:paraId="2A514BE7" w14:textId="2F539E15" w:rsidR="00530038" w:rsidRPr="00530038" w:rsidRDefault="00530038" w:rsidP="00530038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lastRenderedPageBreak/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1680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 § 1. 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Integrum manet parti,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quae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gravatam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putet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itemque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promotori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iustitiae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defensori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vinculi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querelam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nullitatis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sententiae vel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appellationem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contra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eandem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sententiam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interponere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mentem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cann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  <w:r w:rsidR="0057643C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1619</w:t>
            </w:r>
            <w:r w:rsidR="0057643C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1640.</w:t>
            </w:r>
          </w:p>
          <w:p w14:paraId="0BD9ACCC" w14:textId="18A834D1" w:rsidR="00530038" w:rsidRPr="00530038" w:rsidRDefault="00530038" w:rsidP="00530038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Terminis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iure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statutis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appellationem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eiusque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prosecutionem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elapsis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atque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actis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iudicialibus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tribunali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superioris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instantiae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receptis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constituatur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collegium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iudicum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designetur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vinculi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defensor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partes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moneantur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ut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animadversiones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intra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terminum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praestitutum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proponant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; quo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termino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transacto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appellatio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mere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dilatoria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evidenter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appareat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tribunal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collegiale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suo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decreto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sententiam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prioris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instantiae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confirmet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38C6B359" w14:textId="77777777" w:rsidR="00530038" w:rsidRPr="00530038" w:rsidRDefault="00530038" w:rsidP="00530038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39DB41BD" w14:textId="07FEF5C5" w:rsidR="00530038" w:rsidRPr="00530038" w:rsidRDefault="00530038" w:rsidP="00530038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3. Si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appellatio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admissa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est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eodem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modo quo in prima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instantia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congrua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congruis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referendo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procedendum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est.</w:t>
            </w:r>
          </w:p>
          <w:p w14:paraId="611578AE" w14:textId="3B7FEFB0" w:rsidR="00530038" w:rsidRPr="00AC3CC3" w:rsidRDefault="00530038" w:rsidP="00530038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4. Si in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gradu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appellationis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novum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nullitatis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matrimonii caput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afferatur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tribunal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potest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tamquam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prima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instantia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illud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admittere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de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eo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iudicare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2125465B" w14:textId="05641CAD" w:rsidR="00530038" w:rsidRPr="00530038" w:rsidRDefault="00530038" w:rsidP="00530038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1680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 § 1. 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Es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bleibt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Partei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sich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beschwert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fühlt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und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ebenso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Kirchenanwalt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dem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Bandverteidiger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unbenommen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Maßgabe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cann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  <w:r w:rsidR="00AB25F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1619</w:t>
            </w:r>
            <w:r w:rsidR="00AB25F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1640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Nichtigkeitsbeschwerde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Berufung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gegen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Urteil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einzulegen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2E08D7DE" w14:textId="444F0C50" w:rsidR="00530038" w:rsidRPr="00530038" w:rsidRDefault="00530038" w:rsidP="00530038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2. Sind die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vom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Recht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für die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Berufung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deren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Verfolgung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festgelegten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Fristen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abgelaufen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die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Gerichtsakten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beim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Gericht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höheren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Instanz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eingegangen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Richterkollegium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bilden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Bandverteidiger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bestellen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und es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Parteien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aufzufordern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ihre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Anmerkungen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innerhalb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gesetzten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Frist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vorzulegen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Ablauf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dieser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Frist hat das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Kollegialgericht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Berufung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offenkundig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nur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Verzögerung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dienen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scheint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mit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seinem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Dekret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Urteil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vorigen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Instanz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bestätigen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244E2C14" w14:textId="17A2FA09" w:rsidR="00530038" w:rsidRPr="00530038" w:rsidRDefault="00530038" w:rsidP="00530038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Berufung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zugelassen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sinngemäßer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Anwendung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Verfahrens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ersten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Instanz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vorzugehen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02E901C3" w14:textId="710C2396" w:rsidR="00530038" w:rsidRPr="00AC3CC3" w:rsidRDefault="00530038" w:rsidP="0053003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Berufungsinstanz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neuer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Ehenichtigkeitsgrund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vorgebracht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kann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ihn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Gericht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als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erstinstanzlich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zulassen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darüber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entscheiden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530038" w:rsidRPr="00AC3CC3" w14:paraId="2658AECD" w14:textId="77777777" w:rsidTr="0072407B">
        <w:tc>
          <w:tcPr>
            <w:tcW w:w="7138" w:type="dxa"/>
          </w:tcPr>
          <w:p w14:paraId="0736258E" w14:textId="3C3E5CCA" w:rsidR="00530038" w:rsidRPr="00AC3CC3" w:rsidRDefault="00530038" w:rsidP="0072407B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1681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Si sententia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exsecutiva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prolata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sit,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potest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quovis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tempore ad tribunal tertii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gradus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pro nova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causae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propositione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normam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can.</w:t>
            </w:r>
            <w:r w:rsidR="00AB25F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1644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provocari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novis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iisque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gravibus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probationibus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argumentis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intra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peremptorium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terminum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triginta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dierum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a proposita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impugnatione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allatis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3D4F4D63" w14:textId="5BFF5295" w:rsidR="00530038" w:rsidRPr="00AC3CC3" w:rsidRDefault="00530038" w:rsidP="0072407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168</w:t>
            </w:r>
            <w:r w:rsidR="00FB6211">
              <w:rPr>
                <w:rFonts w:cstheme="minorHAnsi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vollstreckbares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Urteil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ergangen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kann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jederzeit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Gericht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dritter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Instanz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zum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Zweck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Wiederaufnahme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Verfahrens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Maßgabe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can.</w:t>
            </w:r>
            <w:r w:rsidR="00AB25F3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1644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angerufen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werden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wobei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innerhalb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Ausschlussfrist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dreißig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Tagen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erfolgter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Anfechtung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neue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schwerwiegende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Beweismittel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Argumente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vorzulegen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Pr="00530038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FB6211" w:rsidRPr="00AC3CC3" w14:paraId="0737E388" w14:textId="77777777" w:rsidTr="0072407B">
        <w:tc>
          <w:tcPr>
            <w:tcW w:w="7138" w:type="dxa"/>
          </w:tcPr>
          <w:p w14:paraId="087060E2" w14:textId="6D101231" w:rsidR="00FB6211" w:rsidRPr="00FB6211" w:rsidRDefault="00FB6211" w:rsidP="00FB621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lastRenderedPageBreak/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1682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 § 1.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Postquam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sententia,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quae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matrimonii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nullitatem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declaraverit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facta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est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exsecutiva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partes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quarum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matrimonium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declaratum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est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nullum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possunt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novas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nuptias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contrahere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nisi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vetito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ipsi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sententiae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apposito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ab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Ordinario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loci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statuto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id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prohibeatur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5A41722D" w14:textId="77777777" w:rsidR="00FB6211" w:rsidRPr="00FB6211" w:rsidRDefault="00FB6211" w:rsidP="00FB6211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6BEEDB1B" w14:textId="180D8F40" w:rsidR="00FB6211" w:rsidRPr="00AC3CC3" w:rsidRDefault="00FB6211" w:rsidP="00FB6211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Statim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ac sententia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facta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est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exsecutiva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Vicarius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iudicialis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debet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eandem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notificare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Ordinario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loci in quo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matrimonium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celebratum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est. Is autem curare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debet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ut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quam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primum de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decreta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nullitate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matrimonii et de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vetitis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forte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statutis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matrimoniorum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baptizatorum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libris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mentio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fiat.</w:t>
            </w:r>
          </w:p>
        </w:tc>
        <w:tc>
          <w:tcPr>
            <w:tcW w:w="7139" w:type="dxa"/>
          </w:tcPr>
          <w:p w14:paraId="758F711E" w14:textId="4A5296A6" w:rsidR="00FB6211" w:rsidRPr="00FB6211" w:rsidRDefault="00FB6211" w:rsidP="00FB621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1682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 § 1.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Nachdem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Urteil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das die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Nichtigkeit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festgestellt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hat,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vollstreckbar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geworden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62F5D">
              <w:rPr>
                <w:rFonts w:cstheme="minorHAnsi"/>
                <w:bCs/>
                <w:sz w:val="24"/>
                <w:szCs w:val="24"/>
                <w:lang w:val="en-US"/>
              </w:rPr>
              <w:t>können</w:t>
            </w:r>
            <w:proofErr w:type="spellEnd"/>
            <w:r w:rsidR="00862F5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die P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arteien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deren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für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ungültig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erklärt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worden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eine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neue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="00862F5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schließ</w:t>
            </w:r>
            <w:r w:rsidR="00862F5D">
              <w:rPr>
                <w:rFonts w:cstheme="minorHAnsi"/>
                <w:bCs/>
                <w:sz w:val="24"/>
                <w:szCs w:val="24"/>
                <w:lang w:val="en-US"/>
              </w:rPr>
              <w:t>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ausgenommen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Fall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eines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Verbotes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das dem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Urteil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beigefügt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vom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Ortsordinarius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erlassen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worden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3D412511" w14:textId="5D6A3512" w:rsidR="00FB6211" w:rsidRPr="00AC3CC3" w:rsidRDefault="00FB6211" w:rsidP="00FB621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Sobald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Urteil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für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vollstreckbar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erklärt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worden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muss 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Gerichtsvikar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es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unverzüglich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Ordinarius des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Eheschließungsortes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bekannt</w:t>
            </w:r>
            <w:proofErr w:type="spellEnd"/>
            <w:r w:rsidR="00862F5D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geben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. Dieser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aber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muss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dafür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Sorge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tragen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dass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baldmöglichst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ausgesprochene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Ehenichtigkeit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die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etwa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verhängten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Verbote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- und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Taufbuch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eingetragen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werden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FB6211" w:rsidRPr="00AC3CC3" w14:paraId="0602C56A" w14:textId="77777777" w:rsidTr="0072407B">
        <w:tc>
          <w:tcPr>
            <w:tcW w:w="7138" w:type="dxa"/>
          </w:tcPr>
          <w:p w14:paraId="47AAECB7" w14:textId="09B6CD88" w:rsidR="00FB6211" w:rsidRPr="00FB6211" w:rsidRDefault="00FB6211" w:rsidP="00862F5D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1683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Ipsi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Episcopo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dioecesano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competit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iudicare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causas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matrimonii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nullitate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processu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breviore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quoties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:</w:t>
            </w:r>
          </w:p>
          <w:p w14:paraId="03480D1D" w14:textId="0D01FD69" w:rsidR="00FB6211" w:rsidRPr="00FB6211" w:rsidRDefault="00FB6211" w:rsidP="00FB621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1°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petitio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ab utroque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coniuge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ab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alterutro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altero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consentiente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proponatur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</w:p>
          <w:p w14:paraId="67053DFF" w14:textId="7E2BC2D6" w:rsidR="00FB6211" w:rsidRPr="00AC3CC3" w:rsidRDefault="00FB6211" w:rsidP="00FB6211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2°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recurrant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rerum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personarumque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adiuncta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testimoniis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instrumentis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suffulta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quae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accuratiorem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disquisitionem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aut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investigationem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exigant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et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nullitatem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manifestam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reddant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6A33ABBA" w14:textId="4FB26418" w:rsidR="00FB6211" w:rsidRPr="00FB6211" w:rsidRDefault="00FB6211" w:rsidP="00FB621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1683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Dem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Diözesanbischof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selbst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kommt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es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Ehenichtig</w:t>
            </w:r>
            <w:r w:rsidR="00862F5D">
              <w:rPr>
                <w:rFonts w:cstheme="minorHAnsi"/>
                <w:bCs/>
                <w:sz w:val="24"/>
                <w:szCs w:val="24"/>
                <w:lang w:val="en-US"/>
              </w:rPr>
              <w:t>-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keitsverfahren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einem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kürzeren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Prozess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beurteilen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immer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:</w:t>
            </w:r>
          </w:p>
          <w:p w14:paraId="5B4FE4EC" w14:textId="77777777" w:rsidR="00FB6211" w:rsidRPr="00FB6211" w:rsidRDefault="00FB6211" w:rsidP="00FB621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1° 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Antrag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beiden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Ehegatten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einem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beiden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bei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Zustimmung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anderen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vorgelegt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</w:p>
          <w:p w14:paraId="5881C8D7" w14:textId="230E1039" w:rsidR="00FB6211" w:rsidRPr="00AC3CC3" w:rsidRDefault="00FB6211" w:rsidP="00FB621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2°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sachliche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persönliche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Umstände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gegeben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von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Zeugnissen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Beweismitteln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gestützt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werden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welche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eine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genauere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Untersuchung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Nachforschung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erfordern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die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Nichtigkeit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offenkundig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machen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FB6211" w:rsidRPr="00AC3CC3" w14:paraId="459233E6" w14:textId="77777777" w:rsidTr="0072407B">
        <w:tc>
          <w:tcPr>
            <w:tcW w:w="7138" w:type="dxa"/>
          </w:tcPr>
          <w:p w14:paraId="1B69CECE" w14:textId="6074F740" w:rsidR="00FB6211" w:rsidRPr="00FB6211" w:rsidRDefault="00FB6211" w:rsidP="00FB621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1684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Libellus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quo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processus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brevior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introducitur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praeter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ea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quae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can.</w:t>
            </w:r>
            <w:r w:rsidR="00862F5D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1504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recensentur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debet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:</w:t>
            </w:r>
          </w:p>
          <w:p w14:paraId="452F7ECA" w14:textId="023E2FC4" w:rsidR="00FB6211" w:rsidRPr="00FB6211" w:rsidRDefault="00FB6211" w:rsidP="00FB621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1°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facta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quibus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petitio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innititur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breviter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integre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perspicue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exponere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</w:p>
          <w:p w14:paraId="4A1FEFF0" w14:textId="77777777" w:rsidR="00FB6211" w:rsidRPr="00FB6211" w:rsidRDefault="00FB6211" w:rsidP="00FB6211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46449AE3" w14:textId="26BB19B1" w:rsidR="00FB6211" w:rsidRPr="00FB6211" w:rsidRDefault="00FB6211" w:rsidP="00FB621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2°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probationes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quae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statim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iudice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colligi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possint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indicare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</w:p>
          <w:p w14:paraId="50F6C1FE" w14:textId="77777777" w:rsidR="00FB6211" w:rsidRPr="00FB6211" w:rsidRDefault="00FB6211" w:rsidP="00FB6211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79F1883E" w14:textId="257D0AB6" w:rsidR="00FB6211" w:rsidRPr="00AC3CC3" w:rsidRDefault="00FB6211" w:rsidP="00FB6211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3°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documenta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quibus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petitio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innititur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adnexo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exhibere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0C1EBD74" w14:textId="006680FE" w:rsidR="00FB6211" w:rsidRPr="00FB6211" w:rsidRDefault="00FB6211" w:rsidP="00FB621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1684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Die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Klageschrift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zur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Einleitung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kürzeren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Prozesses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muss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außer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dem, was in can.</w:t>
            </w:r>
            <w:r w:rsidR="00862F5D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1504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genannt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:</w:t>
            </w:r>
          </w:p>
          <w:p w14:paraId="1256D2B3" w14:textId="2658213F" w:rsidR="00FB6211" w:rsidRPr="00FB6211" w:rsidRDefault="00FB6211" w:rsidP="00FB621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1° die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Fakten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auf die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sich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Antrag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stützt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kurz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vollständig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</w:t>
            </w:r>
            <w:r w:rsidR="00862F5D">
              <w:rPr>
                <w:rFonts w:cstheme="minorHAnsi"/>
                <w:bCs/>
                <w:sz w:val="24"/>
                <w:szCs w:val="24"/>
                <w:lang w:val="en-US"/>
              </w:rPr>
              <w:t>a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ch</w:t>
            </w:r>
            <w:r w:rsidR="00862F5D">
              <w:rPr>
                <w:rFonts w:cstheme="minorHAnsi"/>
                <w:bCs/>
                <w:sz w:val="24"/>
                <w:szCs w:val="24"/>
                <w:lang w:val="en-US"/>
              </w:rPr>
              <w:t>-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vollziehbar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darlegen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</w:p>
          <w:p w14:paraId="27DDE26A" w14:textId="77777777" w:rsidR="00FB6211" w:rsidRPr="00FB6211" w:rsidRDefault="00FB6211" w:rsidP="00FB621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2° die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Beweise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sofort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vom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Richter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gesammelt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werden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können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angeben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;</w:t>
            </w:r>
          </w:p>
          <w:p w14:paraId="47E55F9F" w14:textId="0643B7A1" w:rsidR="00FB6211" w:rsidRPr="00AC3CC3" w:rsidRDefault="00FB6211" w:rsidP="00FB621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3°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Dokumente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auf die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sich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Antrag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stützt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in der Anlage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enthalten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FB6211" w:rsidRPr="00AC3CC3" w14:paraId="6105F1EF" w14:textId="77777777" w:rsidTr="0072407B">
        <w:tc>
          <w:tcPr>
            <w:tcW w:w="7138" w:type="dxa"/>
          </w:tcPr>
          <w:p w14:paraId="315A5A6E" w14:textId="3E38B024" w:rsidR="00FB6211" w:rsidRPr="00AC3CC3" w:rsidRDefault="00FB6211" w:rsidP="0072407B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lastRenderedPageBreak/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1685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Vicarius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iudicialis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eodem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decreto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quo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dubii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formulam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determinat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instructore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assessore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nominatis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ad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sessionem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non ultra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triginta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iuxta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can.</w:t>
            </w:r>
            <w:r w:rsidR="00171505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1686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celebrandam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omnes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citet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qui in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ea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interesse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debent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71944AC9" w14:textId="2C14AC6C" w:rsidR="00FB6211" w:rsidRPr="00AC3CC3" w:rsidRDefault="00FB6211" w:rsidP="0072407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1685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Gerichtsvikar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hat,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Ernennung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Untersuchungsrichters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eines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Beisitzers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mit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demselben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Dekret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mit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die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Steitpunktformel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bestimmt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alle, die an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ihr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teilnehmen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müssen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innerhalb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dreißig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Tagen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gemäß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can.</w:t>
            </w:r>
            <w:r w:rsidR="00171505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1686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abzuhaltenden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Sitzung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laden.</w:t>
            </w:r>
          </w:p>
        </w:tc>
      </w:tr>
      <w:tr w:rsidR="00FB6211" w:rsidRPr="00AC3CC3" w14:paraId="28395DFE" w14:textId="77777777" w:rsidTr="0072407B">
        <w:tc>
          <w:tcPr>
            <w:tcW w:w="7138" w:type="dxa"/>
          </w:tcPr>
          <w:p w14:paraId="26A5CBCE" w14:textId="662E755E" w:rsidR="00FB6211" w:rsidRPr="00AC3CC3" w:rsidRDefault="00FB6211" w:rsidP="0072407B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1686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Instructor una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sessione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quatenus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fieri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possit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probationes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colligat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terminum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quindecim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dierum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statuat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animadversiones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pro vinculo et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defensiones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pro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partibus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quae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habeantur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exhibendas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4188628C" w14:textId="6CFFAF3B" w:rsidR="00FB6211" w:rsidRPr="00AC3CC3" w:rsidRDefault="00FB6211" w:rsidP="0072407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1686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Untersuchungsrichter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hat,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soweit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geschehen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kann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Sitzung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Beweise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sammeln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eine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Frist von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fünfzehn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Tagen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zur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Vorlage 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Anmerkungen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zugunsten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Ehebandes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Verteidigungen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zugunsten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Parteien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welche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vorgelegt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werden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festzulegen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4F72F3FC" w14:textId="77777777" w:rsidR="002671AA" w:rsidRDefault="002671AA">
      <w:r>
        <w:br w:type="page"/>
      </w:r>
    </w:p>
    <w:tbl>
      <w:tblPr>
        <w:tblStyle w:val="Tabellenraster"/>
        <w:tblW w:w="14277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138"/>
        <w:gridCol w:w="7139"/>
      </w:tblGrid>
      <w:tr w:rsidR="00FB6211" w:rsidRPr="00AC3CC3" w14:paraId="0FC2D4AA" w14:textId="77777777" w:rsidTr="0072407B">
        <w:tc>
          <w:tcPr>
            <w:tcW w:w="7138" w:type="dxa"/>
          </w:tcPr>
          <w:p w14:paraId="2A5BF996" w14:textId="302772A4" w:rsidR="00FB6211" w:rsidRPr="00FB6211" w:rsidRDefault="00FB6211" w:rsidP="00FB621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lastRenderedPageBreak/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1687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 § 1.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Actis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receptis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Episcopus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dioecesanus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collatis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consiliis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cum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instructore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assessore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perpensisque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animadversionibus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defensoris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vinculi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et,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quae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habeantur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defensionibus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partium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moralem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certitudinem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matrimonii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nullitate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adipiscitur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sententiam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ferat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. Secus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causam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ordinarium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tramitem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remittat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2582AE36" w14:textId="77777777" w:rsidR="00FB6211" w:rsidRPr="00FB6211" w:rsidRDefault="00FB6211" w:rsidP="002671AA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2162025E" w14:textId="77777777" w:rsidR="00FB6211" w:rsidRPr="00FB6211" w:rsidRDefault="00FB6211" w:rsidP="002671AA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4801A531" w14:textId="029E4EB1" w:rsidR="00FB6211" w:rsidRPr="00FB6211" w:rsidRDefault="00FB6211" w:rsidP="00FB621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171505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2. Integer sententiae textus,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motivis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expressis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quam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citius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partibus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notificetur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022B28DD" w14:textId="6C76834F" w:rsidR="00FB6211" w:rsidRPr="00FB6211" w:rsidRDefault="00FB6211" w:rsidP="00FB621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171505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Adversus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sententiam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Episcopi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appellatio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datur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Metropolitam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ad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Rotam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Romanam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autem sententia ab ipso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Metropolita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lata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sit,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appellatio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datur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antiquiorem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suffraganeum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; et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adversus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sententiam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alius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Episcopi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qui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auctoritatem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superiorem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infra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Romanum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Pontificem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habet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appellatio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datur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Episcopum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ab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eodem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stabiliter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selectum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4CCB5484" w14:textId="77777777" w:rsidR="00FB6211" w:rsidRPr="00FB6211" w:rsidRDefault="00FB6211" w:rsidP="002671AA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2F762891" w14:textId="77777777" w:rsidR="00FB6211" w:rsidRPr="00FB6211" w:rsidRDefault="00FB6211" w:rsidP="002671AA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1F1847D9" w14:textId="736E1C43" w:rsidR="00FB6211" w:rsidRPr="00AC3CC3" w:rsidRDefault="00FB6211" w:rsidP="00FB6211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171505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4. Si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appellatio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mere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dilatoria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evidenter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appareat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Metropolita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Episcopus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quo in §</w:t>
            </w:r>
            <w:r w:rsidR="00171505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3, vel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Decanus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Rotae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Romanae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eam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limine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decreto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suo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reiciat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autem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admissa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fuerit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causa ad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ordinarium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tramitem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altero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gradu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remittatur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7EA07195" w14:textId="77777777" w:rsidR="00FB6211" w:rsidRPr="00FB6211" w:rsidRDefault="00FB6211" w:rsidP="00FB621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1687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 § 1.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Erhalt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Akten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hat 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Diözesanbischof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Beratung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mit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Untersuchungsrichter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dem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Beisitzer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gründlicher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Erwägung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Anmerkungen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Bandverteidigers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sofern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sie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vorliegen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Verteidigungsschriften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Parteien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Urteil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fällen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er die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moralische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Gewissheit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über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Nichtigkeit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erlangt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Anderenfalls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hat er die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Sache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auf den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ordentlichen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Verfahrensweg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verweisen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6C3269E8" w14:textId="4FA67880" w:rsidR="00FB6211" w:rsidRPr="00FB6211" w:rsidRDefault="00FB6211" w:rsidP="00FB621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171505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2. 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vollständige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Text des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Urteils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mit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Angabe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Begründungen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baldmöglichst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Parteien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bekannt</w:t>
            </w:r>
            <w:proofErr w:type="spellEnd"/>
            <w:r w:rsidR="0017150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="0017150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geben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6515ECC7" w14:textId="2D954E29" w:rsidR="00FB6211" w:rsidRPr="00FB6211" w:rsidRDefault="00FB6211" w:rsidP="00FB6211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171505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Gegen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Urteil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Bischofs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Berufung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beim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Metropoliten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bei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Rota Romana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möglich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aber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Urteil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vom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Metropoliten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selbst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ergangen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kann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Berufung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beim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ältesten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Suffraganbischof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eingelegt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werden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; und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gegen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Urteil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eines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anderen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Bischofs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keine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höhere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Autorität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unter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Papst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hat,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kann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Berufung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bei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Bischof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eingelegt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werden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der von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ihm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dafür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dauerhaft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ausgewählt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wurde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5CFA7762" w14:textId="703F5F59" w:rsidR="00FB6211" w:rsidRPr="00AC3CC3" w:rsidRDefault="00FB6211" w:rsidP="00FB621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EE56D8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Berufung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offenkundig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nur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Verzögerung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dienen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scheint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hat 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Metropolit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Bischof, von dem in §</w:t>
            </w:r>
            <w:r w:rsidR="00EE56D8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3 die Rede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Dekan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Rota Romana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sie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durch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sein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Dekret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von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vornherein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r w:rsidRPr="00EE56D8">
              <w:rPr>
                <w:rFonts w:cstheme="minorHAnsi"/>
                <w:bCs/>
                <w:i/>
                <w:sz w:val="24"/>
                <w:szCs w:val="24"/>
                <w:lang w:val="en-US"/>
              </w:rPr>
              <w:t xml:space="preserve">(a </w:t>
            </w:r>
            <w:proofErr w:type="spellStart"/>
            <w:r w:rsidRPr="00EE56D8">
              <w:rPr>
                <w:rFonts w:cstheme="minorHAnsi"/>
                <w:bCs/>
                <w:i/>
                <w:sz w:val="24"/>
                <w:szCs w:val="24"/>
                <w:lang w:val="en-US"/>
              </w:rPr>
              <w:t>limine</w:t>
            </w:r>
            <w:proofErr w:type="spellEnd"/>
            <w:r w:rsidRPr="00EE56D8">
              <w:rPr>
                <w:rFonts w:cstheme="minorHAnsi"/>
                <w:bCs/>
                <w:i/>
                <w:sz w:val="24"/>
                <w:szCs w:val="24"/>
                <w:lang w:val="en-US"/>
              </w:rPr>
              <w:t>)</w:t>
            </w:r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abzuweisen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sie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aber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zugelassen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wurde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Ehesache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ordentlichen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Verfahrensweg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zweiten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Instanz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übergeben</w:t>
            </w:r>
            <w:proofErr w:type="spellEnd"/>
            <w:r w:rsidRPr="00FB6211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3A2123DF" w14:textId="77777777" w:rsidR="002671AA" w:rsidRDefault="002671AA">
      <w:r>
        <w:br w:type="page"/>
      </w:r>
    </w:p>
    <w:tbl>
      <w:tblPr>
        <w:tblStyle w:val="Tabellenraster"/>
        <w:tblW w:w="14277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138"/>
        <w:gridCol w:w="7139"/>
      </w:tblGrid>
      <w:tr w:rsidR="002671AA" w:rsidRPr="00AC3CC3" w14:paraId="5ED15001" w14:textId="77777777" w:rsidTr="0072407B">
        <w:tc>
          <w:tcPr>
            <w:tcW w:w="7138" w:type="dxa"/>
          </w:tcPr>
          <w:p w14:paraId="1E1E72E0" w14:textId="2AE0043C" w:rsidR="002671AA" w:rsidRPr="00AC3CC3" w:rsidRDefault="002671AA" w:rsidP="0072407B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lastRenderedPageBreak/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1688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Recepta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petitione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normam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can.</w:t>
            </w:r>
            <w:r w:rsidR="00EE56D8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1676 proposita,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Episcopus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dioecesanus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Vicarius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iudicialis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Iudex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designatus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potest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praetermissis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sollemnitatibus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ordinarii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processus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sed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citatis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partibus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cum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interventu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defensoris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vinculi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matrimonii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nullitatem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sententia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declarare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ex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documento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quod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nulli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contradictioni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exceptioni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sit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obnoxium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certo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constet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exsistentia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impedimenti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dirimentis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de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defectu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legitimae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formae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dummodo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pari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certitudine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pateat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dispensationem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datam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esse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aut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defectu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validi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mandati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procuratoris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6C67A27C" w14:textId="33B1101F" w:rsidR="002671AA" w:rsidRPr="00AC3CC3" w:rsidRDefault="002671AA" w:rsidP="0072407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1688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Eingang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eines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Klageantrages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gemäß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can.</w:t>
            </w:r>
            <w:r w:rsidR="00EE56D8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1676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kann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Diözesanbischof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der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Gerichtsvikar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eigens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bestimmter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Richter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unter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Außerachtlassung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Förmlichkeiten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ordentlichen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Gerichtsverfahrens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jedoch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Ladung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Parteien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unter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Beteiligung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Bandverteidigers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Nichtigkeit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Ehe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durch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Urteil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feststellen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wenn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aufgrund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Urkunde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gegen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Widerspruch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eine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Einrede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erhoben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werden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kann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mit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Sicherheit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Vorliegen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eines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trennenden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Ehehindernisses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Mangel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rechtmäßigen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Eheschließungsform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feststeht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vorausgesetzt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mit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gleicher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Gewissheit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klar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dass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keine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Dispens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erteilt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worden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sei,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Mangel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gültigen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Auftrags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Stellvertreters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bei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Eheschließung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feststeht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2671AA" w:rsidRPr="00AC3CC3" w14:paraId="313C0C2B" w14:textId="77777777" w:rsidTr="0072407B">
        <w:tc>
          <w:tcPr>
            <w:tcW w:w="7138" w:type="dxa"/>
          </w:tcPr>
          <w:p w14:paraId="44C412D8" w14:textId="0828ECEA" w:rsidR="002671AA" w:rsidRPr="002671AA" w:rsidRDefault="002671AA" w:rsidP="002671AA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1689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 § 1.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Adversus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hanc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declarationem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defensor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vinculi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si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prudenter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existimaverit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vitia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quibus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can.</w:t>
            </w:r>
            <w:r w:rsidR="00EE56D8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1688 vel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dispensationis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defectum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esse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certa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appellare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debet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iudicem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secundae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instantiae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ad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quem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acta sunt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transmittenda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quique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scripto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monendus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est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agi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processu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documentali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3113B379" w14:textId="77777777" w:rsidR="002671AA" w:rsidRPr="002671AA" w:rsidRDefault="002671AA" w:rsidP="000F72A5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71AD8964" w14:textId="47982811" w:rsidR="002671AA" w:rsidRPr="00AC3CC3" w:rsidRDefault="002671AA" w:rsidP="002671AA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EE56D8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2. Integrum manet parti,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quae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gravatam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putet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ius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appellandi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76F3FC73" w14:textId="1FD3DE14" w:rsidR="002671AA" w:rsidRPr="002671AA" w:rsidRDefault="002671AA" w:rsidP="002671AA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1689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 § 1. </w:t>
            </w:r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Hat der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Bandverteidiger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begründete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Zweifel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ob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Mängel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can.</w:t>
            </w:r>
            <w:r w:rsidR="00EE56D8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1688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Nichterteilung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Dispens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sicher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feststehen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so muss er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gegen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Nichtigerklärung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Berufung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an den Richter der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zweiten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Instanz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einlegen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diesem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Gerichtsakten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übersenden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mit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dem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schriftlichen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Hinweis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dass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es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sich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um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ein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Urkundenverfahren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handelt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18C3F934" w14:textId="0BC427DD" w:rsidR="002671AA" w:rsidRPr="00AC3CC3" w:rsidRDefault="002671AA" w:rsidP="002671A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EE03E2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2. Das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Berufungsrecht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einer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Partei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sich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beschwert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fühlt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bleibt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unangetastet</w:t>
            </w:r>
            <w:proofErr w:type="spellEnd"/>
            <w:r w:rsidRPr="002671AA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0F72A5" w:rsidRPr="00AC3CC3" w14:paraId="29E5E7E9" w14:textId="77777777" w:rsidTr="0072407B">
        <w:tc>
          <w:tcPr>
            <w:tcW w:w="7138" w:type="dxa"/>
          </w:tcPr>
          <w:p w14:paraId="236C7030" w14:textId="6E8B978B" w:rsidR="000F72A5" w:rsidRPr="00AC3CC3" w:rsidRDefault="000F72A5" w:rsidP="0072407B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1690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Iudex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alterius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instantiae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, cum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interventu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defensoris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vinculi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auditis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partibus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decernet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eodem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modo, de quo in can.</w:t>
            </w:r>
            <w:r w:rsidR="00EE03E2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1688,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utrum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sententia sit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confirmanda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, an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potius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procedendum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causa sit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iuxta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ordinarium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tramitem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iuris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; quo in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casu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eam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remittit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ad tribunal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primae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instantiae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57712003" w14:textId="7E23C199" w:rsidR="000F72A5" w:rsidRPr="00AC3CC3" w:rsidRDefault="000F72A5" w:rsidP="0072407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1690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Der Richter der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zweiten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Instanz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wird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unter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Beteiligung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Bandverteidigers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Anhören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Parteien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gleicher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Weise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wie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nach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can.</w:t>
            </w:r>
            <w:r w:rsidR="00EE03E2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1688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darüber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entscheiden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ob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Urteil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bestätigen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ob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vielmehr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vorliegenden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Fall auf dem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ordentlichen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Verfahrensweg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vorzugehen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ist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letzteren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Fall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verweist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er die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Sache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an das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Gericht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ersten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Instanz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zurück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0F72A5" w:rsidRPr="00AC3CC3" w14:paraId="78256E2F" w14:textId="77777777" w:rsidTr="0072407B">
        <w:tc>
          <w:tcPr>
            <w:tcW w:w="7138" w:type="dxa"/>
          </w:tcPr>
          <w:p w14:paraId="76DB9166" w14:textId="3CC717AC" w:rsidR="000F72A5" w:rsidRPr="000F72A5" w:rsidRDefault="000F72A5" w:rsidP="000F72A5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lastRenderedPageBreak/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1691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 § 1. </w:t>
            </w:r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In sententia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partes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moneantur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obligationibus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moralibus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vel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etiam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civilibus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quibus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forte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teneantur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, altera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erga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alteram et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erga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prolem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, ad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sustentationem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educationem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praestandam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4365AB22" w14:textId="1A389DA5" w:rsidR="000F72A5" w:rsidRDefault="000F72A5" w:rsidP="000F72A5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EE03E2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Causae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ad matrimonii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nullitatem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declarandam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processu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contentioso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orali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, de quo in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cann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  <w:r w:rsidR="00EE03E2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1656</w:t>
            </w:r>
            <w:r w:rsidR="00EE03E2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1670,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tractari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nequeunt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090492E5" w14:textId="77777777" w:rsidR="00EE03E2" w:rsidRPr="000F72A5" w:rsidRDefault="00EE03E2" w:rsidP="00EE03E2">
            <w:pPr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14:paraId="573B76EC" w14:textId="58AD36FC" w:rsidR="000F72A5" w:rsidRPr="00AC3CC3" w:rsidRDefault="000F72A5" w:rsidP="000F72A5">
            <w:pPr>
              <w:jc w:val="both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EE03E2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3. In ceteris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quae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ad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rationem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procedendi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attinent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applicandi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sunt, nisi rei natura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obstet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canones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iudiciis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genere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et de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iudicio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contentioso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ordinario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servatis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specialibus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normis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circa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causas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statu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personarum et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causas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ad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bonum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publicum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spectantes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7139" w:type="dxa"/>
          </w:tcPr>
          <w:p w14:paraId="49F638A4" w14:textId="77777777" w:rsidR="000F72A5" w:rsidRPr="000F72A5" w:rsidRDefault="000F72A5" w:rsidP="000F72A5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C3CC3">
              <w:rPr>
                <w:rFonts w:cstheme="minorHAnsi"/>
                <w:b/>
                <w:bCs/>
                <w:sz w:val="24"/>
                <w:szCs w:val="24"/>
                <w:lang w:val="en-US"/>
              </w:rPr>
              <w:t>Can.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 1691 </w:t>
            </w:r>
            <w:r w:rsidRPr="00AC3CC3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 § 1.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Urteil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sollen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Parteien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auf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etwa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bestehende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moralische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oder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auch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zivilrechtliche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Verpflichtungen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Unterhalt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Erziehung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hingewiesen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werden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sie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gegenseitig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gegenüber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den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Kindern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haben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05E7B649" w14:textId="75E62F65" w:rsidR="000F72A5" w:rsidRPr="000F72A5" w:rsidRDefault="000F72A5" w:rsidP="000F72A5">
            <w:pPr>
              <w:spacing w:after="120"/>
              <w:jc w:val="both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EE03E2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Ehenichtigkeitssachen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können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nicht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auf dem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Weg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in den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cann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  <w:r w:rsidR="00EE03E2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1656</w:t>
            </w:r>
            <w:r w:rsidR="00EE03E2">
              <w:rPr>
                <w:rFonts w:cstheme="minorHAnsi"/>
                <w:bCs/>
                <w:sz w:val="24"/>
                <w:szCs w:val="24"/>
                <w:lang w:val="en-US"/>
              </w:rPr>
              <w:t>–</w:t>
            </w:r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1670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erwähnten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mündlichen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Streitverfahrens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behandelt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werden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  <w:p w14:paraId="2CE8C049" w14:textId="29DDDA65" w:rsidR="000F72A5" w:rsidRPr="00AC3CC3" w:rsidRDefault="000F72A5" w:rsidP="000F72A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§</w:t>
            </w:r>
            <w:r w:rsidR="00EE03E2">
              <w:rPr>
                <w:rFonts w:cstheme="minorHAnsi"/>
                <w:bCs/>
                <w:sz w:val="24"/>
                <w:szCs w:val="24"/>
                <w:lang w:val="en-US"/>
              </w:rPr>
              <w:t> </w:t>
            </w:r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Bezüglich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sonstigen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Vorgehens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soweit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von der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Natur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Sache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möglich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, die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Canones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über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Gerichtswesen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im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E03E2">
              <w:rPr>
                <w:rFonts w:cstheme="minorHAnsi"/>
                <w:bCs/>
                <w:sz w:val="24"/>
                <w:szCs w:val="24"/>
                <w:lang w:val="en-US"/>
              </w:rPr>
              <w:t>A</w:t>
            </w:r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llgemeinen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über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das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ordentliche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Streitverfahren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anzuwenden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wobei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besonderen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Normen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für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Personenstandssachen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Sachen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des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öffentlichen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Wohls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zu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beachten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sind</w:t>
            </w:r>
            <w:proofErr w:type="spellEnd"/>
            <w:r w:rsidRPr="000F72A5">
              <w:rPr>
                <w:rFonts w:cstheme="minorHAnsi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440B54F5" w14:textId="77777777" w:rsidR="005A1F8C" w:rsidRPr="00046CA3" w:rsidRDefault="005A1F8C">
      <w:pPr>
        <w:rPr>
          <w:sz w:val="24"/>
          <w:szCs w:val="24"/>
        </w:rPr>
      </w:pPr>
    </w:p>
    <w:sectPr w:rsidR="005A1F8C" w:rsidRPr="00046CA3" w:rsidSect="005A1F8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AB0E0" w14:textId="77777777" w:rsidR="006E0891" w:rsidRDefault="006E0891" w:rsidP="005A1F8C">
      <w:pPr>
        <w:spacing w:after="0" w:line="240" w:lineRule="auto"/>
      </w:pPr>
      <w:r>
        <w:separator/>
      </w:r>
    </w:p>
  </w:endnote>
  <w:endnote w:type="continuationSeparator" w:id="0">
    <w:p w14:paraId="1CD8C68B" w14:textId="77777777" w:rsidR="006E0891" w:rsidRDefault="006E0891" w:rsidP="005A1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ED547" w14:textId="77777777" w:rsidR="006E0891" w:rsidRDefault="006E0891" w:rsidP="005A1F8C">
      <w:pPr>
        <w:spacing w:after="0" w:line="240" w:lineRule="auto"/>
      </w:pPr>
      <w:r>
        <w:separator/>
      </w:r>
    </w:p>
  </w:footnote>
  <w:footnote w:type="continuationSeparator" w:id="0">
    <w:p w14:paraId="4DB4F56A" w14:textId="77777777" w:rsidR="006E0891" w:rsidRDefault="006E0891" w:rsidP="005A1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F8C"/>
    <w:rsid w:val="00046CA3"/>
    <w:rsid w:val="00050B91"/>
    <w:rsid w:val="000F72A5"/>
    <w:rsid w:val="00171505"/>
    <w:rsid w:val="00242BE3"/>
    <w:rsid w:val="00251AD2"/>
    <w:rsid w:val="002671AA"/>
    <w:rsid w:val="003C2B7D"/>
    <w:rsid w:val="004A3833"/>
    <w:rsid w:val="004B36C5"/>
    <w:rsid w:val="004E1161"/>
    <w:rsid w:val="004E3278"/>
    <w:rsid w:val="00514F65"/>
    <w:rsid w:val="00530038"/>
    <w:rsid w:val="00546582"/>
    <w:rsid w:val="0057643C"/>
    <w:rsid w:val="00576C5D"/>
    <w:rsid w:val="00593352"/>
    <w:rsid w:val="005A1F8C"/>
    <w:rsid w:val="00632EC6"/>
    <w:rsid w:val="00686FDA"/>
    <w:rsid w:val="006D0AD8"/>
    <w:rsid w:val="006D5113"/>
    <w:rsid w:val="006E0891"/>
    <w:rsid w:val="0071609D"/>
    <w:rsid w:val="0073194E"/>
    <w:rsid w:val="007A1F9A"/>
    <w:rsid w:val="00801A4C"/>
    <w:rsid w:val="00862F5D"/>
    <w:rsid w:val="008E2DB1"/>
    <w:rsid w:val="00916B9F"/>
    <w:rsid w:val="0093498B"/>
    <w:rsid w:val="00941B5A"/>
    <w:rsid w:val="009437B9"/>
    <w:rsid w:val="00981458"/>
    <w:rsid w:val="00991E87"/>
    <w:rsid w:val="009B3172"/>
    <w:rsid w:val="009C72FC"/>
    <w:rsid w:val="009D4BED"/>
    <w:rsid w:val="009E5E8C"/>
    <w:rsid w:val="00A04012"/>
    <w:rsid w:val="00AB25F3"/>
    <w:rsid w:val="00AC3CC3"/>
    <w:rsid w:val="00B07E07"/>
    <w:rsid w:val="00BC6A0A"/>
    <w:rsid w:val="00BD74FE"/>
    <w:rsid w:val="00CB35D2"/>
    <w:rsid w:val="00CC5FAF"/>
    <w:rsid w:val="00D919C6"/>
    <w:rsid w:val="00DA25C2"/>
    <w:rsid w:val="00E36A38"/>
    <w:rsid w:val="00E750E4"/>
    <w:rsid w:val="00E81062"/>
    <w:rsid w:val="00EE03E2"/>
    <w:rsid w:val="00EE56D8"/>
    <w:rsid w:val="00F45740"/>
    <w:rsid w:val="00F553AE"/>
    <w:rsid w:val="00F708CC"/>
    <w:rsid w:val="00F82EB1"/>
    <w:rsid w:val="00FB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59F1"/>
  <w15:chartTrackingRefBased/>
  <w15:docId w15:val="{98A2FAB0-5AA7-40C7-A247-D52FCD4E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72A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A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06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2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2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8DEE9-AF17-43D5-A138-577A9984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3370</Words>
  <Characters>21235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s317857</dc:creator>
  <cp:keywords/>
  <dc:description/>
  <cp:lastModifiedBy>Franziska Müller</cp:lastModifiedBy>
  <cp:revision>9</cp:revision>
  <cp:lastPrinted>2018-03-20T18:03:00Z</cp:lastPrinted>
  <dcterms:created xsi:type="dcterms:W3CDTF">2022-03-03T08:10:00Z</dcterms:created>
  <dcterms:modified xsi:type="dcterms:W3CDTF">2022-03-08T09:57:00Z</dcterms:modified>
</cp:coreProperties>
</file>