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BD36" w14:textId="73D8E270" w:rsidR="00F866BE" w:rsidRPr="00050B91" w:rsidRDefault="005A1F8C" w:rsidP="00050B91">
      <w:pPr>
        <w:jc w:val="center"/>
        <w:rPr>
          <w:b/>
          <w:sz w:val="32"/>
          <w:szCs w:val="32"/>
        </w:rPr>
      </w:pPr>
      <w:r w:rsidRPr="00050B91">
        <w:rPr>
          <w:b/>
          <w:sz w:val="32"/>
          <w:szCs w:val="32"/>
        </w:rPr>
        <w:t>Motu Proprio „</w:t>
      </w:r>
      <w:r w:rsidR="00516B10">
        <w:rPr>
          <w:b/>
          <w:sz w:val="32"/>
          <w:szCs w:val="32"/>
        </w:rPr>
        <w:t>Omnium in Mentem</w:t>
      </w:r>
      <w:r w:rsidRPr="00050B91">
        <w:rPr>
          <w:b/>
          <w:sz w:val="32"/>
          <w:szCs w:val="32"/>
        </w:rPr>
        <w:t xml:space="preserve">“ </w:t>
      </w:r>
      <w:r w:rsidR="00050B91" w:rsidRPr="00050B91">
        <w:rPr>
          <w:b/>
          <w:sz w:val="32"/>
          <w:szCs w:val="32"/>
        </w:rPr>
        <w:t xml:space="preserve">vom </w:t>
      </w:r>
      <w:r w:rsidR="00516B10">
        <w:rPr>
          <w:b/>
          <w:sz w:val="32"/>
          <w:szCs w:val="32"/>
        </w:rPr>
        <w:t>26</w:t>
      </w:r>
      <w:r w:rsidR="009C72FC">
        <w:rPr>
          <w:b/>
          <w:sz w:val="32"/>
          <w:szCs w:val="32"/>
        </w:rPr>
        <w:t>.</w:t>
      </w:r>
      <w:r w:rsidR="00516B10">
        <w:rPr>
          <w:b/>
          <w:sz w:val="32"/>
          <w:szCs w:val="32"/>
        </w:rPr>
        <w:t>10</w:t>
      </w:r>
      <w:r w:rsidR="009C72FC">
        <w:rPr>
          <w:b/>
          <w:sz w:val="32"/>
          <w:szCs w:val="32"/>
        </w:rPr>
        <w:t>.20</w:t>
      </w:r>
      <w:r w:rsidR="00516B10">
        <w:rPr>
          <w:b/>
          <w:sz w:val="32"/>
          <w:szCs w:val="32"/>
        </w:rPr>
        <w:t>09</w:t>
      </w:r>
      <w:r w:rsidRPr="00050B91">
        <w:rPr>
          <w:b/>
          <w:sz w:val="32"/>
          <w:szCs w:val="32"/>
        </w:rPr>
        <w:t xml:space="preserve"> </w:t>
      </w:r>
      <w:r w:rsidR="00050B91" w:rsidRPr="00050B91">
        <w:rPr>
          <w:b/>
          <w:sz w:val="32"/>
          <w:szCs w:val="32"/>
        </w:rPr>
        <w:t>(</w:t>
      </w:r>
      <w:r w:rsidRPr="00050B91">
        <w:rPr>
          <w:b/>
          <w:sz w:val="32"/>
          <w:szCs w:val="32"/>
        </w:rPr>
        <w:t>Druckvorlage</w:t>
      </w:r>
      <w:r w:rsidR="00050B91" w:rsidRPr="00050B91">
        <w:rPr>
          <w:b/>
          <w:sz w:val="32"/>
          <w:szCs w:val="32"/>
        </w:rPr>
        <w:t>)</w:t>
      </w:r>
    </w:p>
    <w:p w14:paraId="466BB55B" w14:textId="77777777" w:rsidR="005A1F8C" w:rsidRPr="00AC3CC3" w:rsidRDefault="005A1F8C">
      <w:pPr>
        <w:rPr>
          <w:sz w:val="24"/>
          <w:szCs w:val="24"/>
        </w:rPr>
      </w:pPr>
    </w:p>
    <w:tbl>
      <w:tblPr>
        <w:tblStyle w:val="Tabellenraster"/>
        <w:tblW w:w="14277" w:type="dxa"/>
        <w:tblCellMar>
          <w:top w:w="108" w:type="dxa"/>
          <w:bottom w:w="108" w:type="dxa"/>
        </w:tblCellMar>
        <w:tblLook w:val="04A0" w:firstRow="1" w:lastRow="0" w:firstColumn="1" w:lastColumn="0" w:noHBand="0" w:noVBand="1"/>
      </w:tblPr>
      <w:tblGrid>
        <w:gridCol w:w="7138"/>
        <w:gridCol w:w="7139"/>
      </w:tblGrid>
      <w:tr w:rsidR="00463235" w:rsidRPr="00AC3CC3" w14:paraId="079A6F05" w14:textId="77777777" w:rsidTr="00D70A75">
        <w:tc>
          <w:tcPr>
            <w:tcW w:w="7138" w:type="dxa"/>
          </w:tcPr>
          <w:p w14:paraId="562867EF" w14:textId="044A823E" w:rsidR="00463235" w:rsidRPr="00AC3CC3" w:rsidRDefault="00463235" w:rsidP="00D70A75">
            <w:pPr>
              <w:jc w:val="both"/>
              <w:rPr>
                <w:rFonts w:cstheme="minorHAnsi"/>
                <w:b/>
                <w:sz w:val="24"/>
                <w:szCs w:val="24"/>
                <w:lang w:val="en-US"/>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1008</w:t>
            </w:r>
            <w:r w:rsidR="001A02C4">
              <w:rPr>
                <w:rFonts w:cstheme="minorHAnsi"/>
                <w:b/>
                <w:bCs/>
                <w:sz w:val="24"/>
                <w:szCs w:val="24"/>
                <w:lang w:val="en-US"/>
              </w:rPr>
              <w:t> </w:t>
            </w:r>
            <w:r w:rsidRPr="00AC3CC3">
              <w:rPr>
                <w:rFonts w:cstheme="minorHAnsi"/>
                <w:bCs/>
                <w:sz w:val="24"/>
                <w:szCs w:val="24"/>
                <w:lang w:val="en-US"/>
              </w:rPr>
              <w:t>–</w:t>
            </w:r>
            <w:r w:rsidR="001A02C4">
              <w:rPr>
                <w:rFonts w:cstheme="minorHAnsi"/>
                <w:bCs/>
                <w:sz w:val="24"/>
                <w:szCs w:val="24"/>
                <w:lang w:val="en-US"/>
              </w:rPr>
              <w:t> </w:t>
            </w:r>
            <w:r w:rsidRPr="00463235">
              <w:rPr>
                <w:rFonts w:cstheme="minorHAnsi"/>
                <w:bCs/>
                <w:sz w:val="24"/>
                <w:szCs w:val="24"/>
                <w:lang w:val="en-US"/>
              </w:rPr>
              <w:t>Sacramento ordinis ex divina institutione inter christifideles quidam, charactere indelebili quo signantur, constituuntur sacri ministri, qui nempe consecrantur et deputantur ut, pro suo quisque gradu, novo et peculiari titulo Dei populo inserviant.</w:t>
            </w:r>
          </w:p>
        </w:tc>
        <w:tc>
          <w:tcPr>
            <w:tcW w:w="7139" w:type="dxa"/>
          </w:tcPr>
          <w:p w14:paraId="6728142A" w14:textId="1A3F021F" w:rsidR="00463235" w:rsidRPr="00AC3CC3" w:rsidRDefault="00463235" w:rsidP="00D70A75">
            <w:pPr>
              <w:jc w:val="both"/>
              <w:rPr>
                <w:rFonts w:cstheme="minorHAnsi"/>
                <w:b/>
                <w:bCs/>
                <w:sz w:val="24"/>
                <w:szCs w:val="24"/>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1008</w:t>
            </w:r>
            <w:r w:rsidR="001A02C4">
              <w:rPr>
                <w:rFonts w:cstheme="minorHAnsi"/>
                <w:b/>
                <w:bCs/>
                <w:sz w:val="24"/>
                <w:szCs w:val="24"/>
                <w:lang w:val="en-US"/>
              </w:rPr>
              <w:t> </w:t>
            </w:r>
            <w:r w:rsidRPr="00AC3CC3">
              <w:rPr>
                <w:rFonts w:cstheme="minorHAnsi"/>
                <w:bCs/>
                <w:sz w:val="24"/>
                <w:szCs w:val="24"/>
                <w:lang w:val="en-US"/>
              </w:rPr>
              <w:t>–</w:t>
            </w:r>
            <w:r w:rsidR="001A02C4">
              <w:rPr>
                <w:rFonts w:cstheme="minorHAnsi"/>
                <w:bCs/>
                <w:sz w:val="24"/>
                <w:szCs w:val="24"/>
                <w:lang w:val="en-US"/>
              </w:rPr>
              <w:t> </w:t>
            </w:r>
            <w:r w:rsidRPr="00463235">
              <w:rPr>
                <w:rFonts w:cstheme="minorHAnsi"/>
                <w:bCs/>
                <w:sz w:val="24"/>
                <w:szCs w:val="24"/>
                <w:lang w:val="en-US"/>
              </w:rPr>
              <w:t xml:space="preserve">Durch das Sakrament der Weihe werden kraft göttlicher Weisung aus dem Kreis der Gläubigen einige mittels eines untilgbaren Prägemals, mit dem sie gezeichnet werden, zu geistlichen Amtsträgern bestellt; sie werden ja dazu geweiht und bestimmt, entsprechend ihrer jeweiligen Weihestufe unter einem neuen und </w:t>
            </w:r>
            <w:r>
              <w:rPr>
                <w:rFonts w:cstheme="minorHAnsi"/>
                <w:bCs/>
                <w:sz w:val="24"/>
                <w:szCs w:val="24"/>
                <w:lang w:val="en-US"/>
              </w:rPr>
              <w:t xml:space="preserve">besonderen </w:t>
            </w:r>
            <w:r w:rsidRPr="00463235">
              <w:rPr>
                <w:rFonts w:cstheme="minorHAnsi"/>
                <w:bCs/>
                <w:sz w:val="24"/>
                <w:szCs w:val="24"/>
                <w:lang w:val="en-US"/>
              </w:rPr>
              <w:t xml:space="preserve">Titel dem Volk Gottes zu </w:t>
            </w:r>
            <w:r>
              <w:rPr>
                <w:rFonts w:cstheme="minorHAnsi"/>
                <w:bCs/>
                <w:sz w:val="24"/>
                <w:szCs w:val="24"/>
                <w:lang w:val="en-US"/>
              </w:rPr>
              <w:t>dienen</w:t>
            </w:r>
            <w:r w:rsidRPr="00463235">
              <w:rPr>
                <w:rFonts w:cstheme="minorHAnsi"/>
                <w:bCs/>
                <w:sz w:val="24"/>
                <w:szCs w:val="24"/>
                <w:lang w:val="en-US"/>
              </w:rPr>
              <w:t>.</w:t>
            </w:r>
          </w:p>
        </w:tc>
      </w:tr>
      <w:tr w:rsidR="00AF3109" w:rsidRPr="00AC3CC3" w14:paraId="344C90FC" w14:textId="77777777" w:rsidTr="00D70A75">
        <w:tc>
          <w:tcPr>
            <w:tcW w:w="7138" w:type="dxa"/>
          </w:tcPr>
          <w:p w14:paraId="0E3E467E" w14:textId="77777777" w:rsidR="00B40AAD" w:rsidRDefault="00AF3109" w:rsidP="00D70A75">
            <w:pPr>
              <w:jc w:val="both"/>
              <w:rPr>
                <w:rFonts w:cstheme="minorHAnsi"/>
                <w:b/>
                <w:bCs/>
                <w:sz w:val="24"/>
                <w:szCs w:val="24"/>
                <w:lang w:val="en-US"/>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1009</w:t>
            </w:r>
          </w:p>
          <w:p w14:paraId="59BFBC30" w14:textId="488AC1EC" w:rsidR="00AF3109" w:rsidRPr="00AC3CC3" w:rsidRDefault="00AF3109" w:rsidP="00D70A75">
            <w:pPr>
              <w:jc w:val="both"/>
              <w:rPr>
                <w:rFonts w:cstheme="minorHAnsi"/>
                <w:b/>
                <w:sz w:val="24"/>
                <w:szCs w:val="24"/>
                <w:lang w:val="en-US"/>
              </w:rPr>
            </w:pPr>
            <w:r>
              <w:rPr>
                <w:rFonts w:cstheme="minorHAnsi"/>
                <w:bCs/>
                <w:sz w:val="24"/>
                <w:szCs w:val="24"/>
                <w:lang w:val="en-US"/>
              </w:rPr>
              <w:t xml:space="preserve">§ 3. </w:t>
            </w:r>
            <w:r w:rsidRPr="00AF3109">
              <w:rPr>
                <w:rFonts w:cstheme="minorHAnsi"/>
                <w:bCs/>
                <w:sz w:val="24"/>
                <w:szCs w:val="24"/>
                <w:lang w:val="en-US"/>
              </w:rPr>
              <w:t>Qui constituti sunt in ordine episcopatus aut presbyteratus missionem et facultatem agendi in persona Christi Capitis accipiunt, diaconi vero vim populo Dei serviendi in diaconia liturgiae, verbi et caritatis.</w:t>
            </w:r>
          </w:p>
        </w:tc>
        <w:tc>
          <w:tcPr>
            <w:tcW w:w="7139" w:type="dxa"/>
          </w:tcPr>
          <w:p w14:paraId="76FD12C1" w14:textId="77777777" w:rsidR="00B40AAD" w:rsidRDefault="00AF3109" w:rsidP="00D70A75">
            <w:pPr>
              <w:jc w:val="both"/>
              <w:rPr>
                <w:rFonts w:cstheme="minorHAnsi"/>
                <w:b/>
                <w:bCs/>
                <w:sz w:val="24"/>
                <w:szCs w:val="24"/>
                <w:lang w:val="en-US"/>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1009</w:t>
            </w:r>
          </w:p>
          <w:p w14:paraId="2BA356FA" w14:textId="1B005657" w:rsidR="00AF3109" w:rsidRPr="00AC3CC3" w:rsidRDefault="00AF3109" w:rsidP="00D70A75">
            <w:pPr>
              <w:jc w:val="both"/>
              <w:rPr>
                <w:rFonts w:cstheme="minorHAnsi"/>
                <w:b/>
                <w:bCs/>
                <w:sz w:val="24"/>
                <w:szCs w:val="24"/>
              </w:rPr>
            </w:pPr>
            <w:r>
              <w:rPr>
                <w:rFonts w:cstheme="minorHAnsi"/>
                <w:bCs/>
                <w:sz w:val="24"/>
                <w:szCs w:val="24"/>
                <w:lang w:val="en-US"/>
              </w:rPr>
              <w:t xml:space="preserve">§ 3. </w:t>
            </w:r>
            <w:r w:rsidRPr="00AF3109">
              <w:rPr>
                <w:rFonts w:cstheme="minorHAnsi"/>
                <w:bCs/>
                <w:sz w:val="24"/>
                <w:szCs w:val="24"/>
                <w:lang w:val="en-US"/>
              </w:rPr>
              <w:t xml:space="preserve">Die </w:t>
            </w:r>
            <w:r>
              <w:rPr>
                <w:rFonts w:cstheme="minorHAnsi"/>
                <w:bCs/>
                <w:sz w:val="24"/>
                <w:szCs w:val="24"/>
                <w:lang w:val="en-US"/>
              </w:rPr>
              <w:t>die Bischofsweihe oder die Priesterweihe empfangen haben</w:t>
            </w:r>
            <w:r w:rsidRPr="00AF3109">
              <w:rPr>
                <w:rFonts w:cstheme="minorHAnsi"/>
                <w:bCs/>
                <w:sz w:val="24"/>
                <w:szCs w:val="24"/>
                <w:lang w:val="en-US"/>
              </w:rPr>
              <w:t xml:space="preserve">, erhalten die Sendung und die </w:t>
            </w:r>
            <w:r>
              <w:rPr>
                <w:rFonts w:cstheme="minorHAnsi"/>
                <w:bCs/>
                <w:sz w:val="24"/>
                <w:szCs w:val="24"/>
                <w:lang w:val="en-US"/>
              </w:rPr>
              <w:t>Vollmacht</w:t>
            </w:r>
            <w:r w:rsidRPr="00AF3109">
              <w:rPr>
                <w:rFonts w:cstheme="minorHAnsi"/>
                <w:bCs/>
                <w:sz w:val="24"/>
                <w:szCs w:val="24"/>
                <w:lang w:val="en-US"/>
              </w:rPr>
              <w:t>, in der Person Christi</w:t>
            </w:r>
            <w:r w:rsidR="008E38E0">
              <w:rPr>
                <w:rFonts w:cstheme="minorHAnsi"/>
                <w:bCs/>
                <w:sz w:val="24"/>
                <w:szCs w:val="24"/>
                <w:lang w:val="en-US"/>
              </w:rPr>
              <w:t>,</w:t>
            </w:r>
            <w:r w:rsidRPr="00AF3109">
              <w:rPr>
                <w:rFonts w:cstheme="minorHAnsi"/>
                <w:bCs/>
                <w:sz w:val="24"/>
                <w:szCs w:val="24"/>
                <w:lang w:val="en-US"/>
              </w:rPr>
              <w:t xml:space="preserve"> des Hauptes</w:t>
            </w:r>
            <w:r w:rsidR="008E38E0">
              <w:rPr>
                <w:rFonts w:cstheme="minorHAnsi"/>
                <w:bCs/>
                <w:sz w:val="24"/>
                <w:szCs w:val="24"/>
                <w:lang w:val="en-US"/>
              </w:rPr>
              <w:t>,</w:t>
            </w:r>
            <w:r w:rsidRPr="00AF3109">
              <w:rPr>
                <w:rFonts w:cstheme="minorHAnsi"/>
                <w:bCs/>
                <w:sz w:val="24"/>
                <w:szCs w:val="24"/>
                <w:lang w:val="en-US"/>
              </w:rPr>
              <w:t xml:space="preserve"> zu handeln; die Diakone hingegen die </w:t>
            </w:r>
            <w:r w:rsidR="008E38E0">
              <w:rPr>
                <w:rFonts w:cstheme="minorHAnsi"/>
                <w:bCs/>
                <w:sz w:val="24"/>
                <w:szCs w:val="24"/>
                <w:lang w:val="en-US"/>
              </w:rPr>
              <w:t>Kraft</w:t>
            </w:r>
            <w:r w:rsidRPr="00AF3109">
              <w:rPr>
                <w:rFonts w:cstheme="minorHAnsi"/>
                <w:bCs/>
                <w:sz w:val="24"/>
                <w:szCs w:val="24"/>
                <w:lang w:val="en-US"/>
              </w:rPr>
              <w:t>, dem Volk Gottes in der Diakonie der Liturgie, des Wortes und der Liebe zu dienen.</w:t>
            </w:r>
          </w:p>
        </w:tc>
      </w:tr>
      <w:tr w:rsidR="008E38E0" w:rsidRPr="00AC3CC3" w14:paraId="229089F4" w14:textId="77777777" w:rsidTr="00D70A75">
        <w:tc>
          <w:tcPr>
            <w:tcW w:w="7138" w:type="dxa"/>
          </w:tcPr>
          <w:p w14:paraId="33E9DF00" w14:textId="0A6AEE65" w:rsidR="008E38E0" w:rsidRPr="00AC3CC3" w:rsidRDefault="008E38E0" w:rsidP="00D70A75">
            <w:pPr>
              <w:jc w:val="both"/>
              <w:rPr>
                <w:rFonts w:cstheme="minorHAnsi"/>
                <w:b/>
                <w:sz w:val="24"/>
                <w:szCs w:val="24"/>
                <w:lang w:val="en-US"/>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1086</w:t>
            </w:r>
            <w:r w:rsidR="001A02C4">
              <w:rPr>
                <w:rFonts w:cstheme="minorHAnsi"/>
                <w:b/>
                <w:bCs/>
                <w:sz w:val="24"/>
                <w:szCs w:val="24"/>
                <w:lang w:val="en-US"/>
              </w:rPr>
              <w:t> </w:t>
            </w:r>
            <w:r w:rsidRPr="00AC3CC3">
              <w:rPr>
                <w:rFonts w:cstheme="minorHAnsi"/>
                <w:bCs/>
                <w:sz w:val="24"/>
                <w:szCs w:val="24"/>
                <w:lang w:val="en-US"/>
              </w:rPr>
              <w:t>–</w:t>
            </w:r>
            <w:r w:rsidR="001A02C4">
              <w:rPr>
                <w:rFonts w:cstheme="minorHAnsi"/>
                <w:bCs/>
                <w:sz w:val="24"/>
                <w:szCs w:val="24"/>
                <w:lang w:val="en-US"/>
              </w:rPr>
              <w:t> </w:t>
            </w:r>
            <w:r>
              <w:rPr>
                <w:rFonts w:cstheme="minorHAnsi"/>
                <w:bCs/>
                <w:sz w:val="24"/>
                <w:szCs w:val="24"/>
                <w:lang w:val="en-US"/>
              </w:rPr>
              <w:t xml:space="preserve">§ 1. </w:t>
            </w:r>
            <w:r w:rsidRPr="008E38E0">
              <w:rPr>
                <w:rFonts w:cstheme="minorHAnsi"/>
                <w:bCs/>
                <w:sz w:val="24"/>
                <w:szCs w:val="24"/>
                <w:lang w:val="en-US"/>
              </w:rPr>
              <w:t>Matrimonium inter duas personas, quarum altera sit baptizata in Ecclesia catholica vel in eandem recepta, et altera non baptizata, invalidum est.</w:t>
            </w:r>
          </w:p>
        </w:tc>
        <w:tc>
          <w:tcPr>
            <w:tcW w:w="7139" w:type="dxa"/>
          </w:tcPr>
          <w:p w14:paraId="2E1CD127" w14:textId="2A561048" w:rsidR="008E38E0" w:rsidRPr="00AC3CC3" w:rsidRDefault="008E38E0" w:rsidP="00D70A75">
            <w:pPr>
              <w:jc w:val="both"/>
              <w:rPr>
                <w:rFonts w:cstheme="minorHAnsi"/>
                <w:b/>
                <w:bCs/>
                <w:sz w:val="24"/>
                <w:szCs w:val="24"/>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1086</w:t>
            </w:r>
            <w:r w:rsidR="001A02C4">
              <w:rPr>
                <w:rFonts w:cstheme="minorHAnsi"/>
                <w:b/>
                <w:bCs/>
                <w:sz w:val="24"/>
                <w:szCs w:val="24"/>
                <w:lang w:val="en-US"/>
              </w:rPr>
              <w:t> </w:t>
            </w:r>
            <w:r w:rsidRPr="00AC3CC3">
              <w:rPr>
                <w:rFonts w:cstheme="minorHAnsi"/>
                <w:bCs/>
                <w:sz w:val="24"/>
                <w:szCs w:val="24"/>
                <w:lang w:val="en-US"/>
              </w:rPr>
              <w:t>–</w:t>
            </w:r>
            <w:r w:rsidR="001A02C4">
              <w:rPr>
                <w:rFonts w:cstheme="minorHAnsi"/>
                <w:bCs/>
                <w:sz w:val="24"/>
                <w:szCs w:val="24"/>
                <w:lang w:val="en-US"/>
              </w:rPr>
              <w:t> </w:t>
            </w:r>
            <w:r>
              <w:rPr>
                <w:rFonts w:cstheme="minorHAnsi"/>
                <w:bCs/>
                <w:sz w:val="24"/>
                <w:szCs w:val="24"/>
                <w:lang w:val="en-US"/>
              </w:rPr>
              <w:t xml:space="preserve">§ 1. </w:t>
            </w:r>
            <w:r w:rsidRPr="008E38E0">
              <w:rPr>
                <w:rFonts w:cstheme="minorHAnsi"/>
                <w:bCs/>
                <w:sz w:val="24"/>
                <w:szCs w:val="24"/>
                <w:lang w:val="en-US"/>
              </w:rPr>
              <w:t>Ungültig ist eine Ehe zwischen zwei Personen, von denen eine in der katholischen Kirche getauft oder in sie aufgenommen wurde, die andere aber ungetauft ist.</w:t>
            </w:r>
          </w:p>
        </w:tc>
      </w:tr>
      <w:tr w:rsidR="008E38E0" w:rsidRPr="00AC3CC3" w14:paraId="4E3AD458" w14:textId="77777777" w:rsidTr="00D70A75">
        <w:tc>
          <w:tcPr>
            <w:tcW w:w="7138" w:type="dxa"/>
          </w:tcPr>
          <w:p w14:paraId="393070EA" w14:textId="39D0CCBF" w:rsidR="008E38E0" w:rsidRPr="00AC3CC3" w:rsidRDefault="008E38E0" w:rsidP="00D70A75">
            <w:pPr>
              <w:jc w:val="both"/>
              <w:rPr>
                <w:rFonts w:cstheme="minorHAnsi"/>
                <w:b/>
                <w:sz w:val="24"/>
                <w:szCs w:val="24"/>
                <w:lang w:val="en-US"/>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1117</w:t>
            </w:r>
            <w:r w:rsidR="001A02C4">
              <w:rPr>
                <w:rFonts w:cstheme="minorHAnsi"/>
                <w:b/>
                <w:bCs/>
                <w:sz w:val="24"/>
                <w:szCs w:val="24"/>
                <w:lang w:val="en-US"/>
              </w:rPr>
              <w:t> </w:t>
            </w:r>
            <w:r w:rsidRPr="00AC3CC3">
              <w:rPr>
                <w:rFonts w:cstheme="minorHAnsi"/>
                <w:bCs/>
                <w:sz w:val="24"/>
                <w:szCs w:val="24"/>
                <w:lang w:val="en-US"/>
              </w:rPr>
              <w:t>–</w:t>
            </w:r>
            <w:r w:rsidR="001A02C4">
              <w:rPr>
                <w:rFonts w:cstheme="minorHAnsi"/>
                <w:bCs/>
                <w:sz w:val="24"/>
                <w:szCs w:val="24"/>
                <w:lang w:val="en-US"/>
              </w:rPr>
              <w:t> </w:t>
            </w:r>
            <w:r w:rsidRPr="00463235">
              <w:rPr>
                <w:rFonts w:cstheme="minorHAnsi"/>
                <w:bCs/>
                <w:sz w:val="24"/>
                <w:szCs w:val="24"/>
                <w:lang w:val="en-US"/>
              </w:rPr>
              <w:t>Statuta superius forma servanda est, si saltem alterutra pars matrimonium contrahentium in Ecclesia catholica baptizata vel in eandem recepta sit, salvis praescriptis can.</w:t>
            </w:r>
            <w:r w:rsidR="00AB26FB">
              <w:rPr>
                <w:rFonts w:cstheme="minorHAnsi"/>
                <w:bCs/>
                <w:sz w:val="24"/>
                <w:szCs w:val="24"/>
                <w:lang w:val="en-US"/>
              </w:rPr>
              <w:t> </w:t>
            </w:r>
            <w:r w:rsidRPr="00463235">
              <w:rPr>
                <w:rFonts w:cstheme="minorHAnsi"/>
                <w:bCs/>
                <w:sz w:val="24"/>
                <w:szCs w:val="24"/>
                <w:lang w:val="en-US"/>
              </w:rPr>
              <w:t>1127, §</w:t>
            </w:r>
            <w:r w:rsidR="00AB26FB">
              <w:rPr>
                <w:rFonts w:cstheme="minorHAnsi"/>
                <w:bCs/>
                <w:sz w:val="24"/>
                <w:szCs w:val="24"/>
                <w:lang w:val="en-US"/>
              </w:rPr>
              <w:t> </w:t>
            </w:r>
            <w:r w:rsidRPr="00463235">
              <w:rPr>
                <w:rFonts w:cstheme="minorHAnsi"/>
                <w:bCs/>
                <w:sz w:val="24"/>
                <w:szCs w:val="24"/>
                <w:lang w:val="en-US"/>
              </w:rPr>
              <w:t>2.</w:t>
            </w:r>
          </w:p>
        </w:tc>
        <w:tc>
          <w:tcPr>
            <w:tcW w:w="7139" w:type="dxa"/>
          </w:tcPr>
          <w:p w14:paraId="12688173" w14:textId="15689C66" w:rsidR="008E38E0" w:rsidRPr="00AC3CC3" w:rsidRDefault="008E38E0" w:rsidP="00D70A75">
            <w:pPr>
              <w:jc w:val="both"/>
              <w:rPr>
                <w:rFonts w:cstheme="minorHAnsi"/>
                <w:b/>
                <w:bCs/>
                <w:sz w:val="24"/>
                <w:szCs w:val="24"/>
              </w:rPr>
            </w:pPr>
            <w:r w:rsidRPr="00AC3CC3">
              <w:rPr>
                <w:rFonts w:cstheme="minorHAnsi"/>
                <w:b/>
                <w:bCs/>
                <w:sz w:val="24"/>
                <w:szCs w:val="24"/>
                <w:lang w:val="en-US"/>
              </w:rPr>
              <w:t>Can.</w:t>
            </w:r>
            <w:r w:rsidR="001A02C4">
              <w:rPr>
                <w:rFonts w:cstheme="minorHAnsi"/>
                <w:b/>
                <w:bCs/>
                <w:sz w:val="24"/>
                <w:szCs w:val="24"/>
                <w:lang w:val="en-US"/>
              </w:rPr>
              <w:t> </w:t>
            </w:r>
            <w:r>
              <w:rPr>
                <w:rFonts w:cstheme="minorHAnsi"/>
                <w:b/>
                <w:bCs/>
                <w:sz w:val="24"/>
                <w:szCs w:val="24"/>
                <w:lang w:val="en-US"/>
              </w:rPr>
              <w:t>1117</w:t>
            </w:r>
            <w:r w:rsidR="001A02C4">
              <w:rPr>
                <w:rFonts w:cstheme="minorHAnsi"/>
                <w:b/>
                <w:bCs/>
                <w:sz w:val="24"/>
                <w:szCs w:val="24"/>
                <w:lang w:val="en-US"/>
              </w:rPr>
              <w:t> </w:t>
            </w:r>
            <w:r w:rsidRPr="00AC3CC3">
              <w:rPr>
                <w:rFonts w:cstheme="minorHAnsi"/>
                <w:bCs/>
                <w:sz w:val="24"/>
                <w:szCs w:val="24"/>
                <w:lang w:val="en-US"/>
              </w:rPr>
              <w:t>–</w:t>
            </w:r>
            <w:r w:rsidR="001A02C4">
              <w:rPr>
                <w:rFonts w:cstheme="minorHAnsi"/>
                <w:bCs/>
                <w:sz w:val="24"/>
                <w:szCs w:val="24"/>
                <w:lang w:val="en-US"/>
              </w:rPr>
              <w:t> </w:t>
            </w:r>
            <w:r w:rsidRPr="008E38E0">
              <w:rPr>
                <w:rFonts w:cstheme="minorHAnsi"/>
                <w:bCs/>
                <w:sz w:val="24"/>
                <w:szCs w:val="24"/>
                <w:lang w:val="en-US"/>
              </w:rPr>
              <w:t>Die oben vorgeschriebene Eheschließungsform muss unbeschadet der Vorschriften des can.</w:t>
            </w:r>
            <w:r w:rsidR="00AB26FB">
              <w:rPr>
                <w:rFonts w:cstheme="minorHAnsi"/>
                <w:bCs/>
                <w:sz w:val="24"/>
                <w:szCs w:val="24"/>
                <w:lang w:val="en-US"/>
              </w:rPr>
              <w:t> </w:t>
            </w:r>
            <w:r w:rsidRPr="008E38E0">
              <w:rPr>
                <w:rFonts w:cstheme="minorHAnsi"/>
                <w:bCs/>
                <w:sz w:val="24"/>
                <w:szCs w:val="24"/>
                <w:lang w:val="en-US"/>
              </w:rPr>
              <w:t>1127, §</w:t>
            </w:r>
            <w:r w:rsidR="00AB26FB">
              <w:rPr>
                <w:rFonts w:cstheme="minorHAnsi"/>
                <w:bCs/>
                <w:sz w:val="24"/>
                <w:szCs w:val="24"/>
                <w:lang w:val="en-US"/>
              </w:rPr>
              <w:t> </w:t>
            </w:r>
            <w:r w:rsidRPr="008E38E0">
              <w:rPr>
                <w:rFonts w:cstheme="minorHAnsi"/>
                <w:bCs/>
                <w:sz w:val="24"/>
                <w:szCs w:val="24"/>
                <w:lang w:val="en-US"/>
              </w:rPr>
              <w:t>2 eingehalten werden, wenn wenigstens einer der Eheschließenden in der katholischen Kirche getauft oder in sie aufgenommen wurde.</w:t>
            </w:r>
          </w:p>
        </w:tc>
      </w:tr>
      <w:tr w:rsidR="003C2B7D" w:rsidRPr="00AC3CC3" w14:paraId="2DE84E29" w14:textId="77777777" w:rsidTr="00AC3CC3">
        <w:tc>
          <w:tcPr>
            <w:tcW w:w="7138" w:type="dxa"/>
          </w:tcPr>
          <w:p w14:paraId="0EB6A520" w14:textId="41872A79" w:rsidR="003C2B7D" w:rsidRPr="00AC3CC3" w:rsidRDefault="004E1161" w:rsidP="00B07E07">
            <w:pPr>
              <w:jc w:val="both"/>
              <w:rPr>
                <w:rFonts w:cstheme="minorHAnsi"/>
                <w:b/>
                <w:sz w:val="24"/>
                <w:szCs w:val="24"/>
                <w:lang w:val="en-US"/>
              </w:rPr>
            </w:pPr>
            <w:r w:rsidRPr="00AC3CC3">
              <w:rPr>
                <w:rFonts w:cstheme="minorHAnsi"/>
                <w:b/>
                <w:bCs/>
                <w:sz w:val="24"/>
                <w:szCs w:val="24"/>
                <w:lang w:val="en-US"/>
              </w:rPr>
              <w:t>Can.</w:t>
            </w:r>
            <w:r w:rsidR="001A02C4">
              <w:rPr>
                <w:rFonts w:cstheme="minorHAnsi"/>
                <w:b/>
                <w:bCs/>
                <w:sz w:val="24"/>
                <w:szCs w:val="24"/>
                <w:lang w:val="en-US"/>
              </w:rPr>
              <w:t> </w:t>
            </w:r>
            <w:r w:rsidR="00463235">
              <w:rPr>
                <w:rFonts w:cstheme="minorHAnsi"/>
                <w:b/>
                <w:bCs/>
                <w:sz w:val="24"/>
                <w:szCs w:val="24"/>
                <w:lang w:val="en-US"/>
              </w:rPr>
              <w:t>1124</w:t>
            </w:r>
            <w:r w:rsidR="001A02C4">
              <w:rPr>
                <w:rFonts w:cstheme="minorHAnsi"/>
                <w:b/>
                <w:bCs/>
                <w:sz w:val="24"/>
                <w:szCs w:val="24"/>
                <w:lang w:val="en-US"/>
              </w:rPr>
              <w:t> </w:t>
            </w:r>
            <w:r w:rsidR="00AC3CC3" w:rsidRPr="00AC3CC3">
              <w:rPr>
                <w:rFonts w:cstheme="minorHAnsi"/>
                <w:bCs/>
                <w:sz w:val="24"/>
                <w:szCs w:val="24"/>
                <w:lang w:val="en-US"/>
              </w:rPr>
              <w:t>–</w:t>
            </w:r>
            <w:r w:rsidR="001A02C4">
              <w:rPr>
                <w:rFonts w:cstheme="minorHAnsi"/>
                <w:bCs/>
                <w:sz w:val="24"/>
                <w:szCs w:val="24"/>
                <w:lang w:val="en-US"/>
              </w:rPr>
              <w:t> </w:t>
            </w:r>
            <w:r w:rsidR="00463235" w:rsidRPr="00463235">
              <w:rPr>
                <w:rFonts w:cstheme="minorHAnsi"/>
                <w:bCs/>
                <w:sz w:val="24"/>
                <w:szCs w:val="24"/>
                <w:lang w:val="en-US"/>
              </w:rPr>
              <w:t>Matrimonium inter duas personas baptizatas, quarum altera sit in Ecclesia catholica baptizata vel in eandem post baptismum recepta, altera vero Ecclesiae vel communitati ecclesiali plenam communionem cum Ecclesia catholica non habenti adscripta, sine expressa auctoritatis competentis licentia prohibitum est.</w:t>
            </w:r>
          </w:p>
        </w:tc>
        <w:tc>
          <w:tcPr>
            <w:tcW w:w="7139" w:type="dxa"/>
          </w:tcPr>
          <w:p w14:paraId="33DC8508" w14:textId="3A10D619" w:rsidR="003C2B7D" w:rsidRPr="00AC3CC3" w:rsidRDefault="004E1161" w:rsidP="00295C01">
            <w:pPr>
              <w:jc w:val="both"/>
              <w:rPr>
                <w:rFonts w:cstheme="minorHAnsi"/>
                <w:b/>
                <w:bCs/>
                <w:sz w:val="24"/>
                <w:szCs w:val="24"/>
              </w:rPr>
            </w:pPr>
            <w:r w:rsidRPr="00AC3CC3">
              <w:rPr>
                <w:rFonts w:cstheme="minorHAnsi"/>
                <w:b/>
                <w:bCs/>
                <w:sz w:val="24"/>
                <w:szCs w:val="24"/>
                <w:lang w:val="en-US"/>
              </w:rPr>
              <w:t>Can.</w:t>
            </w:r>
            <w:r w:rsidR="001A02C4">
              <w:rPr>
                <w:rFonts w:cstheme="minorHAnsi"/>
                <w:b/>
                <w:bCs/>
                <w:sz w:val="24"/>
                <w:szCs w:val="24"/>
                <w:lang w:val="en-US"/>
              </w:rPr>
              <w:t> </w:t>
            </w:r>
            <w:r w:rsidR="00463235">
              <w:rPr>
                <w:rFonts w:cstheme="minorHAnsi"/>
                <w:b/>
                <w:bCs/>
                <w:sz w:val="24"/>
                <w:szCs w:val="24"/>
                <w:lang w:val="en-US"/>
              </w:rPr>
              <w:t>1124</w:t>
            </w:r>
            <w:r w:rsidR="001A02C4">
              <w:rPr>
                <w:rFonts w:cstheme="minorHAnsi"/>
                <w:b/>
                <w:bCs/>
                <w:sz w:val="24"/>
                <w:szCs w:val="24"/>
                <w:lang w:val="en-US"/>
              </w:rPr>
              <w:t> </w:t>
            </w:r>
            <w:r w:rsidR="00AC3CC3" w:rsidRPr="00AC3CC3">
              <w:rPr>
                <w:rFonts w:cstheme="minorHAnsi"/>
                <w:bCs/>
                <w:sz w:val="24"/>
                <w:szCs w:val="24"/>
                <w:lang w:val="en-US"/>
              </w:rPr>
              <w:t>–</w:t>
            </w:r>
            <w:r w:rsidR="001A02C4">
              <w:rPr>
                <w:rFonts w:cstheme="minorHAnsi"/>
                <w:bCs/>
                <w:sz w:val="24"/>
                <w:szCs w:val="24"/>
                <w:lang w:val="en-US"/>
              </w:rPr>
              <w:t> </w:t>
            </w:r>
            <w:r w:rsidR="00463235" w:rsidRPr="00463235">
              <w:rPr>
                <w:rFonts w:cstheme="minorHAnsi"/>
                <w:bCs/>
                <w:sz w:val="24"/>
                <w:szCs w:val="24"/>
                <w:lang w:val="en-US"/>
              </w:rPr>
              <w:t>Die Eheschließung zwischen zwei Getauften, von denen der eine in der katholischen Kirche getauft oder nach der Taufe in sie aufgenommen worden ist, der andere Partner aber einer Kirche oder kirchlichen Gemeinschaft zugezählt wird, die nicht in voller Gemeinschaft mit der katholischen Kirche steht, ist ohne ausdrückliche Erlaubnis der zuständigen Autorität verboten.</w:t>
            </w:r>
          </w:p>
        </w:tc>
      </w:tr>
    </w:tbl>
    <w:p w14:paraId="440B54F5" w14:textId="77777777" w:rsidR="005A1F8C" w:rsidRPr="00046CA3" w:rsidRDefault="005A1F8C">
      <w:pPr>
        <w:rPr>
          <w:sz w:val="24"/>
          <w:szCs w:val="24"/>
        </w:rPr>
      </w:pPr>
    </w:p>
    <w:sectPr w:rsidR="005A1F8C" w:rsidRPr="00046CA3" w:rsidSect="00295C01">
      <w:pgSz w:w="16838" w:h="11906" w:orient="landscape"/>
      <w:pgMar w:top="1417" w:right="141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F601" w14:textId="77777777" w:rsidR="000C7F4F" w:rsidRDefault="000C7F4F" w:rsidP="005A1F8C">
      <w:pPr>
        <w:spacing w:after="0" w:line="240" w:lineRule="auto"/>
      </w:pPr>
      <w:r>
        <w:separator/>
      </w:r>
    </w:p>
  </w:endnote>
  <w:endnote w:type="continuationSeparator" w:id="0">
    <w:p w14:paraId="193E95DA" w14:textId="77777777" w:rsidR="000C7F4F" w:rsidRDefault="000C7F4F" w:rsidP="005A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3AA4" w14:textId="77777777" w:rsidR="000C7F4F" w:rsidRDefault="000C7F4F" w:rsidP="005A1F8C">
      <w:pPr>
        <w:spacing w:after="0" w:line="240" w:lineRule="auto"/>
      </w:pPr>
      <w:r>
        <w:separator/>
      </w:r>
    </w:p>
  </w:footnote>
  <w:footnote w:type="continuationSeparator" w:id="0">
    <w:p w14:paraId="1CD5E5C0" w14:textId="77777777" w:rsidR="000C7F4F" w:rsidRDefault="000C7F4F" w:rsidP="005A1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8C"/>
    <w:rsid w:val="00046CA3"/>
    <w:rsid w:val="00050B91"/>
    <w:rsid w:val="000C7F4F"/>
    <w:rsid w:val="001A02C4"/>
    <w:rsid w:val="00240166"/>
    <w:rsid w:val="00242BE3"/>
    <w:rsid w:val="00295C01"/>
    <w:rsid w:val="003C2B7D"/>
    <w:rsid w:val="00463235"/>
    <w:rsid w:val="004A7186"/>
    <w:rsid w:val="004B36C5"/>
    <w:rsid w:val="004E1161"/>
    <w:rsid w:val="004E3278"/>
    <w:rsid w:val="004F4006"/>
    <w:rsid w:val="00516B10"/>
    <w:rsid w:val="00546582"/>
    <w:rsid w:val="00593352"/>
    <w:rsid w:val="005A1F8C"/>
    <w:rsid w:val="00686FDA"/>
    <w:rsid w:val="006D0AD8"/>
    <w:rsid w:val="0071609D"/>
    <w:rsid w:val="0073194E"/>
    <w:rsid w:val="007A1F9A"/>
    <w:rsid w:val="008E2DB1"/>
    <w:rsid w:val="008E38E0"/>
    <w:rsid w:val="0093498B"/>
    <w:rsid w:val="00981458"/>
    <w:rsid w:val="009B3172"/>
    <w:rsid w:val="009C72FC"/>
    <w:rsid w:val="009E5E8C"/>
    <w:rsid w:val="00A04012"/>
    <w:rsid w:val="00AB26FB"/>
    <w:rsid w:val="00AC3CC3"/>
    <w:rsid w:val="00AF3109"/>
    <w:rsid w:val="00B07E07"/>
    <w:rsid w:val="00B40AAD"/>
    <w:rsid w:val="00D919C6"/>
    <w:rsid w:val="00DA25C2"/>
    <w:rsid w:val="00E36A38"/>
    <w:rsid w:val="00E81062"/>
    <w:rsid w:val="00F43695"/>
    <w:rsid w:val="00F45740"/>
    <w:rsid w:val="00F708CC"/>
    <w:rsid w:val="00F82E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59F1"/>
  <w15:chartTrackingRefBased/>
  <w15:docId w15:val="{98A2FAB0-5AA7-40C7-A247-D52FCD4E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38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062"/>
    <w:rPr>
      <w:color w:val="0000FF"/>
      <w:u w:val="single"/>
    </w:rPr>
  </w:style>
  <w:style w:type="paragraph" w:styleId="Sprechblasentext">
    <w:name w:val="Balloon Text"/>
    <w:basedOn w:val="Standard"/>
    <w:link w:val="SprechblasentextZchn"/>
    <w:uiPriority w:val="99"/>
    <w:semiHidden/>
    <w:unhideWhenUsed/>
    <w:rsid w:val="00DA25C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2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8DEE9-AF17-43D5-A138-577A9984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s317857</dc:creator>
  <cp:keywords/>
  <dc:description/>
  <cp:lastModifiedBy>Franziska Müller</cp:lastModifiedBy>
  <cp:revision>7</cp:revision>
  <cp:lastPrinted>2018-03-20T18:03:00Z</cp:lastPrinted>
  <dcterms:created xsi:type="dcterms:W3CDTF">2022-03-02T11:10:00Z</dcterms:created>
  <dcterms:modified xsi:type="dcterms:W3CDTF">2022-03-08T07:37:00Z</dcterms:modified>
</cp:coreProperties>
</file>